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E4" w:rsidRDefault="004157E4" w:rsidP="004157E4">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 xml:space="preserve">08 ocho de enero del </w:t>
      </w:r>
      <w:r w:rsidRPr="007D0C4C">
        <w:rPr>
          <w:rFonts w:ascii="Century" w:hAnsi="Century"/>
        </w:rPr>
        <w:t>año 201</w:t>
      </w:r>
      <w:r>
        <w:rPr>
          <w:rFonts w:ascii="Century" w:hAnsi="Century"/>
        </w:rPr>
        <w:t>8</w:t>
      </w:r>
      <w:r w:rsidRPr="007D0C4C">
        <w:rPr>
          <w:rFonts w:ascii="Century" w:hAnsi="Century"/>
        </w:rPr>
        <w:t xml:space="preserve"> dos mil dieci</w:t>
      </w:r>
      <w:r>
        <w:rPr>
          <w:rFonts w:ascii="Century" w:hAnsi="Century"/>
        </w:rPr>
        <w:t xml:space="preserve">ocho. </w:t>
      </w:r>
    </w:p>
    <w:p w:rsidR="004157E4" w:rsidRDefault="004157E4" w:rsidP="004157E4">
      <w:pPr>
        <w:tabs>
          <w:tab w:val="left" w:pos="3837"/>
        </w:tabs>
        <w:spacing w:line="360" w:lineRule="auto"/>
        <w:ind w:firstLine="709"/>
        <w:jc w:val="both"/>
        <w:rPr>
          <w:rFonts w:ascii="Century" w:hAnsi="Century"/>
        </w:rPr>
      </w:pPr>
    </w:p>
    <w:p w:rsidR="004157E4" w:rsidRPr="007D0C4C" w:rsidRDefault="004157E4" w:rsidP="004157E4">
      <w:pPr>
        <w:pStyle w:val="RESOLUCIONES"/>
      </w:pPr>
      <w:r w:rsidRPr="007D0C4C">
        <w:rPr>
          <w:b/>
        </w:rPr>
        <w:t>V I S T O</w:t>
      </w:r>
      <w:r w:rsidRPr="007D0C4C">
        <w:t xml:space="preserve"> para resolver el expediente número </w:t>
      </w:r>
      <w:bookmarkStart w:id="0" w:name="_GoBack"/>
      <w:r w:rsidRPr="007D0C4C">
        <w:rPr>
          <w:b/>
        </w:rPr>
        <w:t>0</w:t>
      </w:r>
      <w:r>
        <w:rPr>
          <w:b/>
        </w:rPr>
        <w:t>619/</w:t>
      </w:r>
      <w:r w:rsidRPr="007D0C4C">
        <w:rPr>
          <w:b/>
        </w:rPr>
        <w:t>201</w:t>
      </w:r>
      <w:r>
        <w:rPr>
          <w:b/>
        </w:rPr>
        <w:t>4</w:t>
      </w:r>
      <w:r w:rsidRPr="007D0C4C">
        <w:rPr>
          <w:b/>
        </w:rPr>
        <w:t>-JN</w:t>
      </w:r>
      <w:bookmarkEnd w:id="0"/>
      <w:r w:rsidRPr="007D0C4C">
        <w:t xml:space="preserve">, que contiene las actuaciones del proceso administrativo iniciado con motivo de la demanda interpuesta por </w:t>
      </w:r>
      <w:r>
        <w:t xml:space="preserve">el ciudadano </w:t>
      </w:r>
      <w:r w:rsidR="008320CF">
        <w:rPr>
          <w:b/>
        </w:rPr>
        <w:t>*******************</w:t>
      </w:r>
      <w:r w:rsidRPr="00C471F3">
        <w:rPr>
          <w:b/>
        </w:rPr>
        <w:t xml:space="preserve">, </w:t>
      </w:r>
      <w:r w:rsidRPr="004C0097">
        <w:t>por su propio derecho;</w:t>
      </w:r>
      <w:r>
        <w:t xml:space="preserve"> </w:t>
      </w:r>
      <w:r w:rsidRPr="00C471F3">
        <w:t>y --</w:t>
      </w:r>
      <w:r w:rsidRPr="00CB3D5D">
        <w:t>---</w:t>
      </w:r>
      <w:r>
        <w:t>----------------------------------------------------</w:t>
      </w:r>
      <w:r w:rsidRPr="00C471F3">
        <w:t>-----</w:t>
      </w:r>
      <w:r>
        <w:t>------------------------------</w:t>
      </w:r>
    </w:p>
    <w:p w:rsidR="004157E4" w:rsidRDefault="004157E4" w:rsidP="004157E4">
      <w:pPr>
        <w:pStyle w:val="RESOLUCIONES"/>
      </w:pPr>
    </w:p>
    <w:p w:rsidR="004157E4" w:rsidRPr="007D0C4C" w:rsidRDefault="004157E4" w:rsidP="004157E4">
      <w:pPr>
        <w:pStyle w:val="RESOLUCIONES"/>
      </w:pPr>
    </w:p>
    <w:p w:rsidR="004157E4" w:rsidRPr="007D0C4C" w:rsidRDefault="004157E4" w:rsidP="004157E4">
      <w:pPr>
        <w:pStyle w:val="RESOLUCIONES"/>
        <w:jc w:val="center"/>
        <w:rPr>
          <w:b/>
        </w:rPr>
      </w:pPr>
      <w:r w:rsidRPr="007D0C4C">
        <w:rPr>
          <w:b/>
        </w:rPr>
        <w:t xml:space="preserve">R E S U L T A N D </w:t>
      </w:r>
      <w:proofErr w:type="gramStart"/>
      <w:r w:rsidRPr="007D0C4C">
        <w:rPr>
          <w:b/>
        </w:rPr>
        <w:t>O :</w:t>
      </w:r>
      <w:proofErr w:type="gramEnd"/>
    </w:p>
    <w:p w:rsidR="004157E4" w:rsidRPr="007D0C4C" w:rsidRDefault="004157E4" w:rsidP="004157E4">
      <w:pPr>
        <w:spacing w:line="360" w:lineRule="auto"/>
        <w:jc w:val="both"/>
        <w:rPr>
          <w:rFonts w:ascii="Century" w:hAnsi="Century"/>
        </w:rPr>
      </w:pPr>
    </w:p>
    <w:p w:rsidR="004157E4" w:rsidRDefault="004157E4" w:rsidP="004157E4">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28 veintiocho de octubre del año 2014 dos mil catorce</w:t>
      </w:r>
      <w:r w:rsidRPr="007D0C4C">
        <w:rPr>
          <w:rFonts w:ascii="Century" w:hAnsi="Century"/>
        </w:rPr>
        <w:t>, la parte actora presentó demanda de nulidad, señalando como acto</w:t>
      </w:r>
      <w:r>
        <w:rPr>
          <w:rFonts w:ascii="Century" w:hAnsi="Century"/>
        </w:rPr>
        <w:t>s</w:t>
      </w:r>
      <w:r w:rsidRPr="007D0C4C">
        <w:rPr>
          <w:rFonts w:ascii="Century" w:hAnsi="Century"/>
        </w:rPr>
        <w:t xml:space="preserve"> impugnado</w:t>
      </w:r>
      <w:r>
        <w:rPr>
          <w:rFonts w:ascii="Century" w:hAnsi="Century"/>
        </w:rPr>
        <w:t xml:space="preserve">s el avalúo con número de folio 250369 (dos cinco cero tres seis nueve), de fecha 01 primero de agosto de 2014 dos mil catorce, así como el oficio con folio número 1024863 (uno cero dos cuatro ocho seis tres), de fecha 08 ocho de agosto del año 2014 dos mil catorce, </w:t>
      </w:r>
      <w:r w:rsidRPr="007D0C4C">
        <w:rPr>
          <w:rFonts w:ascii="Century" w:hAnsi="Century"/>
        </w:rPr>
        <w:t xml:space="preserve">y como autoridad demandada </w:t>
      </w:r>
      <w:r>
        <w:rPr>
          <w:rFonts w:ascii="Century" w:hAnsi="Century"/>
        </w:rPr>
        <w:t>la Tesorería Municipal de León, Guanajuato. -----------------------------------------------------------------------------------------</w:t>
      </w:r>
    </w:p>
    <w:p w:rsidR="004157E4" w:rsidRPr="007D0C4C" w:rsidRDefault="004157E4" w:rsidP="004157E4">
      <w:pPr>
        <w:spacing w:line="360" w:lineRule="auto"/>
        <w:ind w:firstLine="708"/>
        <w:jc w:val="both"/>
        <w:rPr>
          <w:rFonts w:ascii="Century" w:hAnsi="Century"/>
          <w:b/>
        </w:rPr>
      </w:pPr>
    </w:p>
    <w:p w:rsidR="004157E4" w:rsidRDefault="004157E4" w:rsidP="004157E4">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31 treinta y uno de octubre del año 2014 dos mil catorce, </w:t>
      </w:r>
      <w:r w:rsidRPr="007D0C4C">
        <w:rPr>
          <w:rFonts w:ascii="Century" w:hAnsi="Century"/>
        </w:rPr>
        <w:t xml:space="preserve">a la parte actora se le admitió a trámite la demanda y se ordenó correr traslado de la misma y sus anexos a la autoridad demandada, teniéndole al actor por ofrecidas y admitidas las pruebas documentales anexas a su escrito de demanda, </w:t>
      </w:r>
      <w:r>
        <w:rPr>
          <w:rFonts w:ascii="Century" w:hAnsi="Century"/>
        </w:rPr>
        <w:t>las que por su especial naturaleza en ese momento se tuvieron por desahogadas</w:t>
      </w:r>
      <w:r w:rsidRPr="007D0C4C">
        <w:rPr>
          <w:rFonts w:ascii="Century" w:hAnsi="Century"/>
        </w:rPr>
        <w:t>.</w:t>
      </w:r>
      <w:r>
        <w:rPr>
          <w:rFonts w:ascii="Century" w:hAnsi="Century"/>
        </w:rPr>
        <w:t xml:space="preserve"> -----------------------------------------------------------------------------------</w:t>
      </w:r>
    </w:p>
    <w:p w:rsidR="004157E4" w:rsidRDefault="004157E4" w:rsidP="004157E4">
      <w:pPr>
        <w:spacing w:line="360" w:lineRule="auto"/>
        <w:ind w:firstLine="709"/>
        <w:jc w:val="both"/>
        <w:rPr>
          <w:rFonts w:ascii="Century" w:hAnsi="Century"/>
        </w:rPr>
      </w:pPr>
    </w:p>
    <w:p w:rsidR="004157E4" w:rsidRDefault="004157E4" w:rsidP="004157E4">
      <w:pPr>
        <w:spacing w:line="360" w:lineRule="auto"/>
        <w:ind w:firstLine="709"/>
        <w:jc w:val="both"/>
        <w:rPr>
          <w:rFonts w:ascii="Century" w:hAnsi="Century"/>
        </w:rPr>
      </w:pPr>
      <w:r>
        <w:rPr>
          <w:rFonts w:ascii="Century" w:hAnsi="Century"/>
        </w:rPr>
        <w:t xml:space="preserve">Por otro lado, con fundamento en el artículo 54 del Código de Procedimiento y Justicia Administrativa para el Estado y los Municipios de Guanajuato, no se le admiten las pruebas testimoniales ofrecidas en los incisos b) y c) del capítulo de pruebas de la demanda, en virtud de que considerando el sentido en que se expresan los agravios, resulta evidente que los puntos controvertidos como materia de litis versan sobre situaciones de puro derecho, de ahí que dicho medio </w:t>
      </w:r>
      <w:proofErr w:type="spellStart"/>
      <w:r>
        <w:rPr>
          <w:rFonts w:ascii="Century" w:hAnsi="Century"/>
        </w:rPr>
        <w:t>convictivo</w:t>
      </w:r>
      <w:proofErr w:type="spellEnd"/>
      <w:r>
        <w:rPr>
          <w:rFonts w:ascii="Century" w:hAnsi="Century"/>
        </w:rPr>
        <w:t xml:space="preserve"> resultará ocioso e innecesario. ------------------</w:t>
      </w:r>
    </w:p>
    <w:p w:rsidR="004157E4" w:rsidRDefault="004157E4" w:rsidP="004157E4">
      <w:pPr>
        <w:spacing w:line="360" w:lineRule="auto"/>
        <w:ind w:firstLine="709"/>
        <w:jc w:val="both"/>
        <w:rPr>
          <w:rFonts w:ascii="Century" w:hAnsi="Century"/>
        </w:rPr>
      </w:pPr>
      <w:r w:rsidRPr="007D0C4C">
        <w:rPr>
          <w:rFonts w:ascii="Century" w:hAnsi="Century"/>
          <w:b/>
        </w:rPr>
        <w:lastRenderedPageBreak/>
        <w:t>TERCERO.</w:t>
      </w:r>
      <w:r w:rsidRPr="007D0C4C">
        <w:rPr>
          <w:rFonts w:ascii="Century" w:hAnsi="Century"/>
        </w:rPr>
        <w:t xml:space="preserve"> Mediante proveído de fecha </w:t>
      </w:r>
      <w:r>
        <w:rPr>
          <w:rFonts w:ascii="Century" w:hAnsi="Century"/>
        </w:rPr>
        <w:t>18 dieciocho de noviembre del año 2014 dos mil catorce, se tuvo al Tesorero por contestando en tiempo y forma legal la demanda, admitiéndosele las pruebas documentales aceptadas a la parte actora en el auto de radicación y la exhibida con su contestación, la que en ese momento se tuvo por desahogadas, así como la presuncional legal y humana en lo que le beneficie; además, en el mismo auto, se cita a las partes a la audiencia de alegatos. ----------------------------------------------------------------------</w:t>
      </w:r>
    </w:p>
    <w:p w:rsidR="004157E4" w:rsidRDefault="004157E4" w:rsidP="004157E4">
      <w:pPr>
        <w:spacing w:line="360" w:lineRule="auto"/>
        <w:ind w:firstLine="709"/>
        <w:jc w:val="both"/>
        <w:rPr>
          <w:rFonts w:ascii="Century" w:hAnsi="Century"/>
        </w:rPr>
      </w:pPr>
    </w:p>
    <w:p w:rsidR="004157E4" w:rsidRDefault="004157E4" w:rsidP="004157E4">
      <w:pPr>
        <w:spacing w:line="360" w:lineRule="auto"/>
        <w:ind w:firstLine="708"/>
        <w:jc w:val="both"/>
        <w:rPr>
          <w:rFonts w:ascii="Century" w:hAnsi="Century"/>
        </w:rPr>
      </w:pPr>
      <w:r w:rsidRPr="004C0097">
        <w:rPr>
          <w:rFonts w:ascii="Century" w:hAnsi="Century"/>
          <w:b/>
        </w:rPr>
        <w:t>CUARTO.</w:t>
      </w:r>
      <w:r>
        <w:rPr>
          <w:rFonts w:ascii="Century" w:hAnsi="Century"/>
        </w:rPr>
        <w:t xml:space="preserve"> En fecha 15 quince de diciembre del año 2014 dos mil catorce, a las 11:00 once horas, </w:t>
      </w:r>
      <w:r w:rsidRPr="007D0C4C">
        <w:rPr>
          <w:rFonts w:ascii="Century" w:hAnsi="Century"/>
        </w:rPr>
        <w:t>fue celebrada la audiencia de alegatos prevista en el artículo 286 del Código de Procedimiento y Justicia Administrativa para el Estado y los Municipios de Guanajuato, sin la asistencia de las partes</w:t>
      </w:r>
      <w:r>
        <w:rPr>
          <w:rFonts w:ascii="Century" w:hAnsi="Century"/>
        </w:rPr>
        <w:t>. ---------</w:t>
      </w:r>
    </w:p>
    <w:p w:rsidR="004157E4" w:rsidRDefault="004157E4" w:rsidP="004157E4">
      <w:pPr>
        <w:spacing w:line="360" w:lineRule="auto"/>
        <w:ind w:firstLine="708"/>
        <w:jc w:val="both"/>
        <w:rPr>
          <w:rFonts w:ascii="Century" w:hAnsi="Century"/>
        </w:rPr>
      </w:pPr>
    </w:p>
    <w:p w:rsidR="004157E4" w:rsidRDefault="004157E4" w:rsidP="004157E4">
      <w:pPr>
        <w:spacing w:line="360" w:lineRule="auto"/>
        <w:ind w:firstLine="708"/>
        <w:jc w:val="both"/>
        <w:rPr>
          <w:rFonts w:ascii="Century" w:hAnsi="Century"/>
        </w:rPr>
      </w:pPr>
    </w:p>
    <w:p w:rsidR="004157E4" w:rsidRPr="007D0C4C" w:rsidRDefault="004157E4" w:rsidP="004157E4">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4157E4" w:rsidRPr="007D0C4C" w:rsidRDefault="004157E4" w:rsidP="004157E4">
      <w:pPr>
        <w:pStyle w:val="Textoindependiente"/>
        <w:spacing w:line="360" w:lineRule="auto"/>
        <w:ind w:firstLine="708"/>
        <w:jc w:val="center"/>
        <w:rPr>
          <w:rFonts w:ascii="Century" w:hAnsi="Century" w:cs="Calibri"/>
          <w:b/>
          <w:bCs/>
          <w:iCs/>
        </w:rPr>
      </w:pPr>
    </w:p>
    <w:p w:rsidR="004157E4" w:rsidRPr="007D0C4C" w:rsidRDefault="004157E4" w:rsidP="004157E4">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 año</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el Tesorero Municipal del Municipio de León, </w:t>
      </w:r>
      <w:r w:rsidRPr="00976B33">
        <w:rPr>
          <w:rFonts w:ascii="Century" w:hAnsi="Century"/>
        </w:rPr>
        <w:t xml:space="preserve">Guanajuato. </w:t>
      </w:r>
      <w:r>
        <w:rPr>
          <w:rFonts w:ascii="Century" w:hAnsi="Century"/>
        </w:rPr>
        <w:t>---------------------</w:t>
      </w:r>
    </w:p>
    <w:p w:rsidR="004157E4" w:rsidRPr="007D0C4C" w:rsidRDefault="004157E4" w:rsidP="004157E4">
      <w:pPr>
        <w:pStyle w:val="Textoindependiente"/>
        <w:spacing w:line="360" w:lineRule="auto"/>
        <w:rPr>
          <w:rFonts w:ascii="Century" w:hAnsi="Century" w:cs="Calibri"/>
          <w:b/>
          <w:bCs/>
        </w:rPr>
      </w:pPr>
    </w:p>
    <w:p w:rsidR="004157E4" w:rsidRPr="007D0C4C" w:rsidRDefault="004157E4" w:rsidP="004157E4">
      <w:pPr>
        <w:pStyle w:val="Textoindependiente"/>
        <w:spacing w:line="360" w:lineRule="auto"/>
        <w:ind w:firstLine="708"/>
        <w:rPr>
          <w:rFonts w:ascii="Century" w:hAnsi="Century" w:cs="Calibri"/>
        </w:rPr>
      </w:pPr>
      <w:r w:rsidRPr="004C0097">
        <w:rPr>
          <w:rFonts w:ascii="Century" w:hAnsi="Century"/>
          <w:b/>
        </w:rPr>
        <w:t xml:space="preserve">SEGUNDO. </w:t>
      </w:r>
      <w:r w:rsidRPr="004C0097">
        <w:rPr>
          <w:rFonts w:ascii="Century" w:hAnsi="Century"/>
        </w:rPr>
        <w:t xml:space="preserve">El presente proceso administrativo fue promovido oportunamente, conforme a lo establecido en el artículo 263 del Código de </w:t>
      </w:r>
      <w:r w:rsidRPr="004C0097">
        <w:rPr>
          <w:rFonts w:ascii="Century" w:hAnsi="Century"/>
        </w:rPr>
        <w:lastRenderedPageBreak/>
        <w:t xml:space="preserve">Procedimiento y Justicia Administrativa para el Estado y los Municipios de Guanajuato, toda vez que la demanda fue presentada </w:t>
      </w:r>
      <w:r>
        <w:rPr>
          <w:rFonts w:ascii="Century" w:hAnsi="Century"/>
        </w:rPr>
        <w:t xml:space="preserve">el día 28 veintiocho de octubre del año 2014 dos mil catorce, por lo que se encuentra </w:t>
      </w:r>
      <w:r w:rsidRPr="004C0097">
        <w:rPr>
          <w:rFonts w:ascii="Century" w:hAnsi="Century"/>
        </w:rPr>
        <w:t>dentro de</w:t>
      </w:r>
      <w:r>
        <w:rPr>
          <w:rFonts w:ascii="Century" w:hAnsi="Century"/>
        </w:rPr>
        <w:t>l término de</w:t>
      </w:r>
      <w:r w:rsidRPr="004C0097">
        <w:rPr>
          <w:rFonts w:ascii="Century" w:hAnsi="Century"/>
        </w:rPr>
        <w:t xml:space="preserve"> los 30 treinta días hábiles siguientes a aquél en que el demandante se ostenta sabedor de</w:t>
      </w:r>
      <w:r>
        <w:rPr>
          <w:rFonts w:ascii="Century" w:hAnsi="Century"/>
        </w:rPr>
        <w:t xml:space="preserve"> </w:t>
      </w:r>
      <w:r w:rsidRPr="004C0097">
        <w:rPr>
          <w:rFonts w:ascii="Century" w:hAnsi="Century"/>
        </w:rPr>
        <w:t>l</w:t>
      </w:r>
      <w:r>
        <w:rPr>
          <w:rFonts w:ascii="Century" w:hAnsi="Century"/>
        </w:rPr>
        <w:t>a</w:t>
      </w:r>
      <w:r w:rsidRPr="004C0097">
        <w:rPr>
          <w:rFonts w:ascii="Century" w:hAnsi="Century"/>
        </w:rPr>
        <w:t xml:space="preserve"> </w:t>
      </w:r>
      <w:r>
        <w:rPr>
          <w:rFonts w:ascii="Century" w:hAnsi="Century"/>
        </w:rPr>
        <w:t xml:space="preserve">resolución </w:t>
      </w:r>
      <w:r w:rsidRPr="004C0097">
        <w:rPr>
          <w:rFonts w:ascii="Century" w:hAnsi="Century"/>
        </w:rPr>
        <w:t xml:space="preserve">impugnada, lo que fue el día </w:t>
      </w:r>
      <w:r>
        <w:rPr>
          <w:rFonts w:ascii="Century" w:hAnsi="Century"/>
        </w:rPr>
        <w:t>20 veinte de octubre del año 2014 dos mil catorce, sin que en el presente expediente obre lo contrario</w:t>
      </w:r>
      <w:r w:rsidRPr="004C0097">
        <w:rPr>
          <w:rFonts w:ascii="Century" w:hAnsi="Century"/>
        </w:rPr>
        <w:t>.</w:t>
      </w:r>
      <w:r>
        <w:rPr>
          <w:rFonts w:ascii="Century" w:hAnsi="Century"/>
        </w:rPr>
        <w:t xml:space="preserve"> ---------------------------------------------------------------------------------------------</w:t>
      </w:r>
    </w:p>
    <w:p w:rsidR="004157E4" w:rsidRPr="007D0C4C" w:rsidRDefault="004157E4" w:rsidP="004157E4">
      <w:pPr>
        <w:pStyle w:val="Textoindependiente"/>
        <w:spacing w:line="360" w:lineRule="auto"/>
        <w:ind w:firstLine="708"/>
        <w:rPr>
          <w:rFonts w:ascii="Century" w:hAnsi="Century" w:cs="Calibri"/>
          <w:b/>
          <w:bCs/>
        </w:rPr>
      </w:pPr>
    </w:p>
    <w:p w:rsidR="004157E4" w:rsidRPr="007D0C4C" w:rsidRDefault="004157E4" w:rsidP="004157E4">
      <w:pPr>
        <w:pStyle w:val="RESOLUCIONES"/>
        <w:rPr>
          <w:rFonts w:cs="Calibri"/>
        </w:rPr>
      </w:pPr>
      <w:r w:rsidRPr="007D0C4C">
        <w:rPr>
          <w:rFonts w:cs="Calibri"/>
          <w:b/>
          <w:iCs/>
        </w:rPr>
        <w:t xml:space="preserve">TERCERO. </w:t>
      </w:r>
      <w:r w:rsidRPr="007D0C4C">
        <w:rPr>
          <w:rFonts w:cs="Calibri"/>
        </w:rPr>
        <w:t>La existencia del acto impugnado se encuentra documentada</w:t>
      </w:r>
      <w:r>
        <w:rPr>
          <w:rFonts w:cs="Calibri"/>
        </w:rPr>
        <w:t xml:space="preserve"> en </w:t>
      </w:r>
      <w:r w:rsidRPr="007D0C4C">
        <w:rPr>
          <w:rFonts w:cs="Calibri"/>
        </w:rPr>
        <w:t>autos</w:t>
      </w:r>
      <w:r>
        <w:rPr>
          <w:rFonts w:cs="Calibri"/>
        </w:rPr>
        <w:t xml:space="preserve">, </w:t>
      </w:r>
      <w:r>
        <w:t xml:space="preserve">con los originales de la notificación de fecha 08 ocho de agosto del año 2014 dos mil catorce, con folio número 1024863 (uno cero dos cuatro ocho seis tres), y el avalúo con número de folio 250369 (dos cinco cero tres seis nueve) relativo a la cuenta predial 01P004733012 (cero uno letra P cero </w:t>
      </w:r>
      <w:proofErr w:type="spellStart"/>
      <w:r>
        <w:t>cero</w:t>
      </w:r>
      <w:proofErr w:type="spellEnd"/>
      <w:r>
        <w:t xml:space="preserve"> cuatro siete tres </w:t>
      </w:r>
      <w:proofErr w:type="spellStart"/>
      <w:r>
        <w:t>tres</w:t>
      </w:r>
      <w:proofErr w:type="spellEnd"/>
      <w:r>
        <w:t xml:space="preserve"> cero uno dos), </w:t>
      </w:r>
      <w:r>
        <w:rPr>
          <w:rFonts w:cs="Calibri"/>
        </w:rPr>
        <w:t xml:space="preserve">documentos anteriores </w:t>
      </w:r>
      <w:r w:rsidRPr="007D0C4C">
        <w:rPr>
          <w:rFonts w:cs="Calibri"/>
        </w:rPr>
        <w:t>que merece</w:t>
      </w:r>
      <w:r>
        <w:rPr>
          <w:rFonts w:cs="Calibri"/>
        </w:rPr>
        <w:t>n</w:t>
      </w:r>
      <w:r w:rsidRPr="007D0C4C">
        <w:rPr>
          <w:rFonts w:cs="Calibri"/>
        </w:rPr>
        <w:t xml:space="preserve"> pleno valor probatorio, conforme </w:t>
      </w:r>
      <w:r>
        <w:rPr>
          <w:rFonts w:cs="Calibri"/>
        </w:rPr>
        <w:t xml:space="preserve">a </w:t>
      </w:r>
      <w:r w:rsidRPr="007D0C4C">
        <w:rPr>
          <w:rFonts w:cs="Calibri"/>
        </w:rPr>
        <w:t>lo dispuesto en los artículos 78, 117, 118, 121</w:t>
      </w:r>
      <w:r>
        <w:rPr>
          <w:rFonts w:cs="Calibri"/>
        </w:rPr>
        <w:t xml:space="preserve">, 123 </w:t>
      </w:r>
      <w:r w:rsidRPr="007D0C4C">
        <w:rPr>
          <w:rFonts w:cs="Calibri"/>
        </w:rPr>
        <w:t>y 131 del Código de Procedimiento y Justicia Administrativa para el Estado y los Municipios de Guanajuato; toda vez que se trata de documento</w:t>
      </w:r>
      <w:r>
        <w:rPr>
          <w:rFonts w:cs="Calibri"/>
        </w:rPr>
        <w:t>s</w:t>
      </w:r>
      <w:r w:rsidRPr="007D0C4C">
        <w:rPr>
          <w:rFonts w:cs="Calibri"/>
        </w:rPr>
        <w:t xml:space="preserve"> público</w:t>
      </w:r>
      <w:r>
        <w:rPr>
          <w:rFonts w:cs="Calibri"/>
        </w:rPr>
        <w:t>s</w:t>
      </w:r>
      <w:r w:rsidRPr="007D0C4C">
        <w:rPr>
          <w:rFonts w:cs="Calibri"/>
        </w:rPr>
        <w:t>, expedido</w:t>
      </w:r>
      <w:r>
        <w:rPr>
          <w:rFonts w:cs="Calibri"/>
        </w:rPr>
        <w:t>s</w:t>
      </w:r>
      <w:r w:rsidRPr="007D0C4C">
        <w:rPr>
          <w:rFonts w:cs="Calibri"/>
        </w:rPr>
        <w:t xml:space="preserve"> por un servidor público, en el ejercicio de sus funciones; aunad</w:t>
      </w:r>
      <w:r>
        <w:rPr>
          <w:rFonts w:cs="Calibri"/>
        </w:rPr>
        <w:t xml:space="preserve">o </w:t>
      </w:r>
      <w:r w:rsidRPr="007D0C4C">
        <w:rPr>
          <w:rFonts w:cs="Calibri"/>
        </w:rPr>
        <w:t xml:space="preserve">a la circunstancia de que </w:t>
      </w:r>
      <w:r>
        <w:rPr>
          <w:rFonts w:cs="Calibri"/>
        </w:rPr>
        <w:t>el Tesorero Municipal</w:t>
      </w:r>
      <w:r w:rsidRPr="007D0C4C">
        <w:rPr>
          <w:rFonts w:cs="Calibri"/>
        </w:rPr>
        <w:t xml:space="preserve">, al contestar la demanda, en relación a los hechos, </w:t>
      </w:r>
      <w:r>
        <w:rPr>
          <w:rFonts w:cs="Calibri"/>
        </w:rPr>
        <w:t>manifestó que fue modificado el valor fiscal del inmueble propiedad del actor.----------------------------------------------------</w:t>
      </w:r>
    </w:p>
    <w:p w:rsidR="004157E4" w:rsidRPr="007D0C4C" w:rsidRDefault="004157E4" w:rsidP="004157E4">
      <w:pPr>
        <w:spacing w:line="360" w:lineRule="auto"/>
        <w:ind w:firstLine="708"/>
        <w:jc w:val="both"/>
        <w:rPr>
          <w:rFonts w:ascii="Century" w:hAnsi="Century" w:cs="Calibri"/>
        </w:rPr>
      </w:pPr>
    </w:p>
    <w:p w:rsidR="004157E4" w:rsidRPr="007D0C4C" w:rsidRDefault="004157E4" w:rsidP="004157E4">
      <w:pPr>
        <w:pStyle w:val="SENTENCIAS"/>
        <w:rPr>
          <w:rFonts w:cs="Calibri"/>
          <w:b/>
          <w:bCs/>
          <w:iCs/>
        </w:rPr>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 xml:space="preserve">s </w:t>
      </w:r>
      <w:r w:rsidRPr="007D0C4C">
        <w:t>impugnado</w:t>
      </w:r>
      <w:r>
        <w:t>s</w:t>
      </w:r>
      <w:r w:rsidRPr="007D0C4C">
        <w:t xml:space="preserve">. </w:t>
      </w:r>
      <w:r>
        <w:t>----------------------------------------------------------</w:t>
      </w:r>
    </w:p>
    <w:p w:rsidR="004157E4" w:rsidRDefault="004157E4" w:rsidP="004157E4">
      <w:pPr>
        <w:pStyle w:val="RESOLUCIONES"/>
        <w:rPr>
          <w:rFonts w:cs="Calibri"/>
          <w:b/>
        </w:rPr>
      </w:pPr>
    </w:p>
    <w:p w:rsidR="004157E4" w:rsidRDefault="004157E4" w:rsidP="004157E4">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4157E4" w:rsidRPr="007D0C4C" w:rsidRDefault="004157E4" w:rsidP="004157E4">
      <w:pPr>
        <w:spacing w:line="360" w:lineRule="auto"/>
        <w:ind w:firstLine="708"/>
        <w:jc w:val="both"/>
        <w:rPr>
          <w:rFonts w:ascii="Century" w:hAnsi="Century" w:cs="Calibri"/>
          <w:b/>
          <w:bCs/>
          <w:iCs/>
        </w:rPr>
      </w:pPr>
    </w:p>
    <w:p w:rsidR="004157E4" w:rsidRDefault="004157E4" w:rsidP="004157E4">
      <w:pPr>
        <w:pStyle w:val="SENTENCIAS"/>
      </w:pPr>
      <w:r>
        <w:lastRenderedPageBreak/>
        <w:t>C</w:t>
      </w:r>
      <w:r w:rsidRPr="008B1490">
        <w:t>abe señalar que</w:t>
      </w:r>
      <w:r w:rsidRPr="00170A2E">
        <w:t xml:space="preserve"> 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no obstante lo anterior, </w:t>
      </w:r>
      <w:r w:rsidRPr="00170A2E">
        <w:t xml:space="preserve">a fin de no incurrir en violaciones procesales, se realizan las siguientes consideraciones respecto a </w:t>
      </w:r>
      <w:r>
        <w:t>las excepciones y defensas hechas valer por las autoridades demandadas.-----------</w:t>
      </w:r>
    </w:p>
    <w:p w:rsidR="004157E4" w:rsidRDefault="004157E4" w:rsidP="004157E4">
      <w:pPr>
        <w:pStyle w:val="RESOLUCIONES"/>
      </w:pPr>
    </w:p>
    <w:p w:rsidR="004157E4" w:rsidRDefault="004157E4" w:rsidP="004157E4">
      <w:pPr>
        <w:pStyle w:val="RESOLUCIONES"/>
      </w:pPr>
      <w:r>
        <w:t xml:space="preserve">En tal sentido, la autoridad demandada, opone la excepción de falta de acción y carencia de derecho </w:t>
      </w:r>
      <w:r w:rsidRPr="008E6D64">
        <w:t>del demandante</w:t>
      </w:r>
      <w:r>
        <w:t xml:space="preserve">, con esta excepción la demandada busca que el actor acredite los hechos de su demanda, </w:t>
      </w:r>
      <w:r w:rsidRPr="00170A2E">
        <w:t>en forma diversa a la confesión implícita que hiciera de los mismos</w:t>
      </w:r>
      <w:r>
        <w:t>,</w:t>
      </w:r>
      <w:r w:rsidRPr="00170A2E">
        <w:t xml:space="preserve"> mediante la aceptación correspondiente, en tal sentido, </w:t>
      </w:r>
      <w:r>
        <w:t xml:space="preserve">traducido a la materia administrativa, se considera que lo que la autoridad demandada hace es una referencia a la carencia o falta de interés jurídico para demandar o inexistencia del acto; sin embargo, esta </w:t>
      </w:r>
      <w:proofErr w:type="spellStart"/>
      <w:r>
        <w:t>resolutora</w:t>
      </w:r>
      <w:proofErr w:type="spellEnd"/>
      <w:r>
        <w:t xml:space="preserve"> determina, </w:t>
      </w:r>
      <w:r w:rsidRPr="00170A2E">
        <w:t>en la especie</w:t>
      </w:r>
      <w:r>
        <w:t>,</w:t>
      </w:r>
      <w:r w:rsidRPr="00170A2E">
        <w:t xml:space="preserve"> que la parte actora si cuenta con interés </w:t>
      </w:r>
      <w:r>
        <w:t>jurí</w:t>
      </w:r>
      <w:r w:rsidRPr="00170A2E">
        <w:t xml:space="preserve">dico para impugnar </w:t>
      </w:r>
      <w:r>
        <w:t xml:space="preserve">la notificación de fecha 08 ocho de agosto del año 2014 dos mil catorce, con folio 1024863 (uno cero dos cuatro ocho seis tres), y el avalúo folio 250369 (dos cinco cero tres seis nueve) relativo a la cuenta predial 01P004733012 (cero uno letra P cero </w:t>
      </w:r>
      <w:proofErr w:type="spellStart"/>
      <w:r>
        <w:t>cero</w:t>
      </w:r>
      <w:proofErr w:type="spellEnd"/>
      <w:r>
        <w:t xml:space="preserve"> cuatro siete tres </w:t>
      </w:r>
      <w:proofErr w:type="spellStart"/>
      <w:r>
        <w:t>tres</w:t>
      </w:r>
      <w:proofErr w:type="spellEnd"/>
      <w:r>
        <w:t xml:space="preserve"> cero uno dos), al ser actos dirigidos al justiciable por la autoridad demandada y encaminarlos a modificar el valor fiscal del inmueble propiedad de él mismo, en consecuencia de ello es que dichos actos le otorgan interés al justiciable para interponer el presente proceso administrativo. -------------------------------------------</w:t>
      </w:r>
    </w:p>
    <w:p w:rsidR="004157E4" w:rsidRDefault="004157E4" w:rsidP="004157E4">
      <w:pPr>
        <w:pStyle w:val="RESOLUCIONES"/>
      </w:pPr>
    </w:p>
    <w:p w:rsidR="004157E4" w:rsidRDefault="004157E4" w:rsidP="004157E4">
      <w:pPr>
        <w:pStyle w:val="RESOLUCIONES"/>
      </w:pPr>
      <w:r>
        <w:t xml:space="preserve">De igual manera, el Tesorero Municipal opone </w:t>
      </w:r>
      <w:r w:rsidRPr="00750845">
        <w:t>la excepción derivada de los artículos 136,</w:t>
      </w:r>
      <w:r w:rsidRPr="004C0097">
        <w:t xml:space="preserve"> 137 y 138 del Código de Procedimiento y Justicia Administrativa para el Estado y los Municipios de Guanajuato</w:t>
      </w:r>
      <w:r w:rsidRPr="00750845">
        <w:t>,</w:t>
      </w:r>
      <w:r>
        <w:t xml:space="preserve"> argumentando: “…</w:t>
      </w:r>
      <w:r w:rsidRPr="004C0097">
        <w:rPr>
          <w:i/>
        </w:rPr>
        <w:t xml:space="preserve"> toda vez, que el acto que la parte actora pretende impugnar reúne todos y cada uno de los requisitos de los numerales en cita…”</w:t>
      </w:r>
      <w:r>
        <w:t xml:space="preserve"> ; dichas manifestaciones se traduce en argumentos tendientes a demostrar la validez del acto impugnado, por tal motivo, será materia de estudio al analizar los conceptos de impugnación hechos valer por la parte actora y determinar en su caso, la </w:t>
      </w:r>
      <w:r w:rsidRPr="009C43A0">
        <w:lastRenderedPageBreak/>
        <w:t>legalidad o ilegalidad de</w:t>
      </w:r>
      <w:r>
        <w:t>l acto combatido, atento a que son argumentaciones íntimamente relacionadas con el fondo del negocio. ------------------------------------</w:t>
      </w:r>
    </w:p>
    <w:p w:rsidR="004157E4" w:rsidRDefault="004157E4" w:rsidP="004157E4">
      <w:pPr>
        <w:pStyle w:val="RESOLUCIONES"/>
        <w:rPr>
          <w:rFonts w:ascii="Arial Narrow" w:hAnsi="Arial Narrow"/>
          <w:color w:val="404040"/>
          <w:sz w:val="27"/>
          <w:szCs w:val="27"/>
        </w:rPr>
      </w:pPr>
    </w:p>
    <w:p w:rsidR="004157E4" w:rsidRPr="00753987" w:rsidRDefault="004157E4" w:rsidP="004157E4">
      <w:pPr>
        <w:pStyle w:val="SENTENCIAS"/>
      </w:pPr>
      <w:r>
        <w:t xml:space="preserve">Asimismo, la demandada opone como </w:t>
      </w:r>
      <w:r w:rsidRPr="009C43A0">
        <w:t xml:space="preserve">excepción </w:t>
      </w:r>
      <w:r>
        <w:t xml:space="preserve">la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 xml:space="preserve">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w:t>
      </w:r>
      <w:r w:rsidRPr="00753987">
        <w:t>ya citado Código de Procedimiento y Justicia Administrativa para el Estado y los Municipios de Guanajuato, por lo que las actuaciones fueron desarrolladas conforme a las formalidades procesales consignadas en dicho ordenamiento</w:t>
      </w:r>
      <w:r w:rsidRPr="00D47FD1">
        <w:t>, en consecuencia resulta improcedente la presente excepción</w:t>
      </w:r>
      <w:r w:rsidRPr="00753987">
        <w:t xml:space="preserve">. </w:t>
      </w:r>
      <w:r w:rsidRPr="00D47FD1">
        <w:t>-----------------------</w:t>
      </w:r>
      <w:r>
        <w:t>----</w:t>
      </w:r>
    </w:p>
    <w:p w:rsidR="004157E4" w:rsidRPr="00753987" w:rsidRDefault="004157E4" w:rsidP="004157E4">
      <w:pPr>
        <w:widowControl w:val="0"/>
        <w:autoSpaceDE w:val="0"/>
        <w:autoSpaceDN w:val="0"/>
        <w:adjustRightInd w:val="0"/>
        <w:spacing w:line="360" w:lineRule="auto"/>
        <w:ind w:firstLine="700"/>
        <w:jc w:val="both"/>
        <w:rPr>
          <w:rFonts w:ascii="Arial Narrow" w:hAnsi="Arial Narrow"/>
          <w:b/>
          <w:sz w:val="27"/>
          <w:szCs w:val="27"/>
        </w:rPr>
      </w:pPr>
    </w:p>
    <w:p w:rsidR="004157E4" w:rsidRPr="009C43A0" w:rsidRDefault="004157E4" w:rsidP="004157E4">
      <w:pPr>
        <w:pStyle w:val="RESOLUCIONES"/>
      </w:pPr>
      <w:r w:rsidRPr="00D47FD1">
        <w:t>Ante la improcedencia de las referidas excepciones y</w:t>
      </w:r>
      <w:r w:rsidRPr="009C43A0">
        <w:t xml:space="preserve"> estimando que no se </w:t>
      </w:r>
      <w:r>
        <w:t>a</w:t>
      </w:r>
      <w:r w:rsidRPr="009C43A0">
        <w:t xml:space="preserve">ctualiza ninguna causal de improcedencia de las previstas en el citado artículo 261, </w:t>
      </w:r>
      <w:r>
        <w:t>se procede al estudio de los conceptos de impugnación. -------------</w:t>
      </w:r>
      <w:r w:rsidRPr="009C43A0">
        <w:t xml:space="preserve"> </w:t>
      </w:r>
    </w:p>
    <w:p w:rsidR="004157E4" w:rsidRDefault="004157E4" w:rsidP="004157E4">
      <w:pPr>
        <w:spacing w:line="360" w:lineRule="auto"/>
        <w:ind w:firstLine="708"/>
        <w:jc w:val="both"/>
      </w:pPr>
    </w:p>
    <w:p w:rsidR="004157E4" w:rsidRPr="007D0C4C" w:rsidRDefault="004157E4" w:rsidP="004157E4">
      <w:pPr>
        <w:pStyle w:val="RESOLUCIONES"/>
        <w:rPr>
          <w:rFonts w:cs="Calibri"/>
        </w:rPr>
      </w:pPr>
      <w:r>
        <w:rPr>
          <w:rFonts w:cs="Calibri"/>
          <w:b/>
          <w:bCs/>
          <w:iCs/>
        </w:rPr>
        <w:t xml:space="preserve">QUINTO. </w:t>
      </w:r>
      <w:r>
        <w:t>E</w:t>
      </w:r>
      <w:r w:rsidRPr="007D0C4C">
        <w:rPr>
          <w:rFonts w:cs="Calibri"/>
          <w:bCs/>
          <w:iCs/>
        </w:rPr>
        <w:t>n</w:t>
      </w:r>
      <w:r w:rsidRPr="007D0C4C">
        <w:rPr>
          <w:rFonts w:cs="Calibri"/>
        </w:rPr>
        <w:t xml:space="preserve"> cumplimiento a lo establecido en la fracción I del artículo 299 del Código de Procedimiento y Justicia Administrativa para el Estado y los Municipios de Guanajuato, </w:t>
      </w:r>
      <w:r w:rsidRPr="007D0C4C">
        <w:rPr>
          <w:rFonts w:cs="Calibri"/>
          <w:bCs/>
          <w:iCs/>
        </w:rPr>
        <w:t xml:space="preserve">este Juzgado </w:t>
      </w:r>
      <w:r w:rsidRPr="007D0C4C">
        <w:rPr>
          <w:rFonts w:cs="Calibri"/>
        </w:rPr>
        <w:t xml:space="preserve">procede a fijar clara y precisamente los puntos controvertidos en el presente proceso administrativo. </w:t>
      </w:r>
    </w:p>
    <w:p w:rsidR="004157E4" w:rsidRPr="007D0C4C" w:rsidRDefault="004157E4" w:rsidP="004157E4">
      <w:pPr>
        <w:spacing w:line="360" w:lineRule="auto"/>
        <w:ind w:firstLine="708"/>
        <w:jc w:val="both"/>
        <w:rPr>
          <w:rFonts w:ascii="Century" w:hAnsi="Century" w:cs="Calibri"/>
        </w:rPr>
      </w:pPr>
    </w:p>
    <w:p w:rsidR="004157E4" w:rsidRDefault="004157E4" w:rsidP="004157E4">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20 veinte de octubre del año 2014 dos mil catorce, el actor tuvo conocimiento de la notificación de fecha 08 ocho de agosto del año 2014 dos mil catorce, con folio 1024863 (uno cero dos cuatro ocho seis tres), y del avalúo folio 250369 (dos cinco cero tres seis nueve) relativo a la cuenta predial 01P004733012 (cero uno letra P cero </w:t>
      </w:r>
      <w:proofErr w:type="spellStart"/>
      <w:r>
        <w:t>cero</w:t>
      </w:r>
      <w:proofErr w:type="spellEnd"/>
      <w:r>
        <w:t xml:space="preserve"> cuatro siete tres </w:t>
      </w:r>
      <w:proofErr w:type="spellStart"/>
      <w:r>
        <w:t>tres</w:t>
      </w:r>
      <w:proofErr w:type="spellEnd"/>
      <w:r>
        <w:t xml:space="preserve"> cero uno dos), en el cual se le da a conocer la modificación del valor fiscal de dicho inmueble de su propiedad, por la cantidad de $331,798.74 (trescientos treinta y un mil setecientos noventa y ocho 74/100 M/N), actos que el actor considera contrarios a derecho. ---------------------------------------------------------------------------------------------</w:t>
      </w:r>
    </w:p>
    <w:p w:rsidR="004157E4" w:rsidRDefault="004157E4" w:rsidP="004157E4">
      <w:pPr>
        <w:pStyle w:val="RESOLUCIONES"/>
        <w:rPr>
          <w:rFonts w:cs="Calibri"/>
        </w:rPr>
      </w:pPr>
    </w:p>
    <w:p w:rsidR="004157E4" w:rsidRDefault="004157E4" w:rsidP="004157E4">
      <w:pPr>
        <w:pStyle w:val="SENTENCIAS"/>
      </w:pPr>
      <w:r w:rsidRPr="00912FF5">
        <w:t>Así las cosas, la “litis</w:t>
      </w:r>
      <w:r w:rsidRPr="004C0097">
        <w:t xml:space="preserve">” planteada se hace consistir en determinar la legalidad o ilegalidad de </w:t>
      </w:r>
      <w:r>
        <w:t xml:space="preserve">la modificación del valor fiscal contenida en el avaluó folio 250369 (dos cinco cero tres seis nueve) relativo a la cuenta predial 01P004733012 (cero uno Letra P cero </w:t>
      </w:r>
      <w:proofErr w:type="spellStart"/>
      <w:r>
        <w:t>cero</w:t>
      </w:r>
      <w:proofErr w:type="spellEnd"/>
      <w:r>
        <w:t xml:space="preserve"> cuatro siete tres </w:t>
      </w:r>
      <w:proofErr w:type="spellStart"/>
      <w:r>
        <w:t>tres</w:t>
      </w:r>
      <w:proofErr w:type="spellEnd"/>
      <w:r>
        <w:t xml:space="preserve"> cero uno dos) y su notificación de fecha 08 ocho de agosto del año 2014 dos mil catorce, con folio 1024863 (uno cero dos cuatro ocho seis tres), y como pretensión el actor solicita la nulidad de los actos impugnados, que se le reconozca el derecho contemplado en el artículo 168 de la Ley de Hacienda para los Municipios del Estado de Guanajuato, para que se le cobre el impuesto predial conforme al valor del avalúo fiscal anterior. -------------------------------------------------------------</w:t>
      </w:r>
    </w:p>
    <w:p w:rsidR="004157E4" w:rsidRDefault="004157E4" w:rsidP="004157E4">
      <w:pPr>
        <w:pStyle w:val="RESOLUCIONES"/>
      </w:pPr>
    </w:p>
    <w:p w:rsidR="004157E4" w:rsidRDefault="004157E4" w:rsidP="004157E4">
      <w:pPr>
        <w:pStyle w:val="RESOLUCIONES"/>
      </w:pPr>
      <w:r w:rsidRPr="007D0C4C">
        <w:rPr>
          <w:rFonts w:cs="Calibri"/>
          <w:b/>
        </w:rPr>
        <w:t>S</w:t>
      </w:r>
      <w:r>
        <w:rPr>
          <w:rFonts w:cs="Calibri"/>
          <w:b/>
        </w:rPr>
        <w:t>EXTO</w:t>
      </w:r>
      <w:r w:rsidRPr="007D0C4C">
        <w:rPr>
          <w:rFonts w:cs="Calibri"/>
          <w:b/>
        </w:rPr>
        <w:t>.</w:t>
      </w:r>
      <w:r w:rsidRPr="007D0C4C">
        <w:rPr>
          <w:rFonts w:cs="Calibri"/>
        </w:rPr>
        <w:t xml:space="preserve"> </w:t>
      </w:r>
      <w:r>
        <w:t>Una vez señalada la l</w:t>
      </w:r>
      <w:r w:rsidRPr="007D0C4C">
        <w:t>itis de la presente causa, se procede al análisis del concepto de impugnación</w:t>
      </w:r>
      <w:r>
        <w:t>. -------------------------------------------------------</w:t>
      </w:r>
    </w:p>
    <w:p w:rsidR="004157E4" w:rsidRDefault="004157E4" w:rsidP="004157E4">
      <w:pPr>
        <w:pStyle w:val="RESOLUCIONES"/>
      </w:pPr>
    </w:p>
    <w:p w:rsidR="004157E4" w:rsidRDefault="004157E4" w:rsidP="004157E4">
      <w:pPr>
        <w:pStyle w:val="RESOLUCIONES"/>
      </w:pPr>
      <w:r>
        <w:t xml:space="preserve">Resulta oportuno precisar que este Órgano Jurisdiccional tiene la obligación de realizar el análisis integral de la demanda, asumiendo como un </w:t>
      </w:r>
      <w:proofErr w:type="gramStart"/>
      <w:r>
        <w:t>todo los capítulos</w:t>
      </w:r>
      <w:proofErr w:type="gramEnd"/>
      <w:r>
        <w:t xml:space="preserve"> de prestaciones y de hechos; así como el estudio de los documentos exhibidos, a fin de advertir de manera plena lo realmente planteado, en relación a la causa de pedir. ------------------------------------------------</w:t>
      </w:r>
    </w:p>
    <w:p w:rsidR="004157E4" w:rsidRDefault="004157E4" w:rsidP="004157E4">
      <w:pPr>
        <w:pStyle w:val="RESOLUCIONES"/>
      </w:pPr>
    </w:p>
    <w:p w:rsidR="004157E4" w:rsidRDefault="004157E4" w:rsidP="004157E4">
      <w:pPr>
        <w:pStyle w:val="RESOLUCIONES"/>
      </w:pPr>
      <w:r>
        <w:t>En función a la causa de pedir quien resuelve esta constreñido a trabar la litis realmente planteada por el actor. ---------------------------------------------------</w:t>
      </w:r>
    </w:p>
    <w:p w:rsidR="004157E4" w:rsidRDefault="004157E4" w:rsidP="004157E4">
      <w:pPr>
        <w:pStyle w:val="RESOLUCIONES"/>
      </w:pPr>
    </w:p>
    <w:p w:rsidR="004157E4" w:rsidRPr="007600A8" w:rsidRDefault="004157E4" w:rsidP="004157E4">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4157E4" w:rsidRDefault="004157E4" w:rsidP="004157E4">
      <w:pPr>
        <w:pStyle w:val="RESOLUCIONES"/>
      </w:pPr>
    </w:p>
    <w:p w:rsidR="004157E4" w:rsidRDefault="004157E4" w:rsidP="004157E4">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w:t>
      </w:r>
      <w:r>
        <w:lastRenderedPageBreak/>
        <w:t xml:space="preserve">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4157E4" w:rsidRDefault="004157E4" w:rsidP="004157E4">
      <w:pPr>
        <w:pStyle w:val="RESOLUCIONES"/>
      </w:pPr>
    </w:p>
    <w:p w:rsidR="004157E4" w:rsidRDefault="004157E4" w:rsidP="004157E4">
      <w:pPr>
        <w:pStyle w:val="RESOLUCIONES"/>
      </w:pPr>
    </w:p>
    <w:p w:rsidR="004157E4" w:rsidRPr="00723FD9" w:rsidRDefault="004157E4" w:rsidP="004157E4">
      <w:pPr>
        <w:pStyle w:val="RESOLUCIONES"/>
      </w:pPr>
      <w: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4157E4" w:rsidRDefault="004157E4" w:rsidP="004157E4">
      <w:pPr>
        <w:pStyle w:val="RESOLUCIONES"/>
      </w:pPr>
    </w:p>
    <w:p w:rsidR="004157E4" w:rsidRDefault="004157E4" w:rsidP="004157E4">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4157E4" w:rsidRDefault="004157E4" w:rsidP="004157E4">
      <w:pPr>
        <w:pStyle w:val="RESOLUCIONES"/>
      </w:pPr>
    </w:p>
    <w:p w:rsidR="004157E4" w:rsidRDefault="004157E4" w:rsidP="004157E4">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4157E4" w:rsidRDefault="004157E4" w:rsidP="004157E4">
      <w:pPr>
        <w:pStyle w:val="RESOLUCIONES"/>
      </w:pPr>
    </w:p>
    <w:p w:rsidR="004157E4" w:rsidRDefault="004157E4" w:rsidP="004157E4">
      <w:pPr>
        <w:pStyle w:val="TESISYJURIS"/>
      </w:pPr>
      <w:r>
        <w:lastRenderedPageBreak/>
        <w:t>Tesis de jurisprudencia 58/2010. Aprobada por la Segunda Sala de este Alto Tribunal, en sesión privada del doce de mayo de dos mil diez.»</w:t>
      </w:r>
    </w:p>
    <w:p w:rsidR="004157E4" w:rsidRDefault="004157E4" w:rsidP="004157E4">
      <w:pPr>
        <w:pStyle w:val="RESOLUCIONES"/>
      </w:pPr>
    </w:p>
    <w:p w:rsidR="004157E4" w:rsidRDefault="004157E4" w:rsidP="004157E4">
      <w:pPr>
        <w:pStyle w:val="RESOLUCIONES"/>
      </w:pPr>
    </w:p>
    <w:p w:rsidR="004157E4" w:rsidRDefault="004157E4" w:rsidP="004157E4">
      <w:pPr>
        <w:pStyle w:val="RESOLUCIONES"/>
      </w:pPr>
      <w:r>
        <w:t>Bajo tal contexto, y ap</w:t>
      </w:r>
      <w:r w:rsidRPr="00B61FA6">
        <w:t>licando el principio de mayor consecuencia anulatoria de la resolución impugnada y que pudieran traer mayor beneficio a la parte actora</w:t>
      </w:r>
      <w:r>
        <w:t>,</w:t>
      </w:r>
      <w:r w:rsidRPr="00B61FA6">
        <w:t xml:space="preserve"> en </w:t>
      </w:r>
      <w:r w:rsidRPr="00151762">
        <w:t>concordancia con los principios de congruencia y exhaustividad que deben regir en toda sentencia</w:t>
      </w:r>
      <w:r>
        <w:t>,</w:t>
      </w:r>
      <w:r w:rsidRPr="00151762">
        <w:t xml:space="preserve"> </w:t>
      </w:r>
      <w:r w:rsidRPr="00B61FA6">
        <w:t>con lo que se respeta la garantía de acceso efectivo a la justicia y, en particular, el principio de completitud que ést</w:t>
      </w:r>
      <w:r>
        <w:t>e</w:t>
      </w:r>
      <w:r w:rsidRPr="00B61FA6">
        <w:t xml:space="preserve"> encierra; </w:t>
      </w:r>
      <w:r w:rsidRPr="00D47FD1">
        <w:t>quien juzga</w:t>
      </w:r>
      <w:r>
        <w:t xml:space="preserve"> aprecia que aunque en el escrito de demanda no existe un capítulo de conceptos de impugnación, sin embargo, del apartado de hechos, se desprenden el siguiente agravio: ------------------------------</w:t>
      </w:r>
    </w:p>
    <w:p w:rsidR="004157E4" w:rsidRDefault="004157E4" w:rsidP="004157E4">
      <w:pPr>
        <w:tabs>
          <w:tab w:val="left" w:pos="3975"/>
        </w:tabs>
        <w:spacing w:line="360" w:lineRule="auto"/>
        <w:ind w:firstLine="709"/>
        <w:jc w:val="both"/>
        <w:rPr>
          <w:rFonts w:ascii="Century" w:hAnsi="Century" w:cs="Calibri"/>
        </w:rPr>
      </w:pPr>
    </w:p>
    <w:p w:rsidR="004157E4" w:rsidRPr="004C0097" w:rsidRDefault="004157E4" w:rsidP="004157E4">
      <w:pPr>
        <w:tabs>
          <w:tab w:val="left" w:pos="3975"/>
        </w:tabs>
        <w:spacing w:line="360" w:lineRule="auto"/>
        <w:ind w:firstLine="709"/>
        <w:jc w:val="both"/>
        <w:rPr>
          <w:rFonts w:ascii="Century" w:hAnsi="Century" w:cs="Calibri"/>
          <w:i/>
        </w:rPr>
      </w:pPr>
      <w:r w:rsidRPr="004C0097">
        <w:rPr>
          <w:rFonts w:ascii="Century" w:hAnsi="Century" w:cs="Calibri"/>
          <w:i/>
        </w:rPr>
        <w:t>“Ahora bien, si por orden de la Tesorería Municipal fue que se realizó el avalúo que se identifica con número de folio 250369, el mismo no cumple con las formalidades que este procedimiento requiere y exige la propia ley, pues se vulnera en mi perjuicio la garantía de legalidad y seguridad jurídica tutelada por el artículo 16 Constitucional, en el que tiene su apoyo el artículo 176 de la Ley de Hacienda para los Municipios del Estado de Guanajuato, al carecer de la debida fundamentación y motivación, ya que jamás existieron órdenes de valuación y/o inspección que me fueran notificadas, vulnerando en mi perjuicio las garantías de legalidad y seguridad jurídica”</w:t>
      </w:r>
    </w:p>
    <w:p w:rsidR="004157E4" w:rsidRPr="004C0097" w:rsidRDefault="004157E4" w:rsidP="004157E4">
      <w:pPr>
        <w:tabs>
          <w:tab w:val="left" w:pos="3975"/>
        </w:tabs>
        <w:spacing w:line="360" w:lineRule="auto"/>
        <w:ind w:firstLine="709"/>
        <w:jc w:val="both"/>
        <w:rPr>
          <w:rFonts w:ascii="Century" w:hAnsi="Century" w:cs="Calibri"/>
          <w:i/>
        </w:rPr>
      </w:pPr>
      <w:r w:rsidRPr="004C0097">
        <w:rPr>
          <w:rFonts w:ascii="Century" w:hAnsi="Century" w:cs="Calibri"/>
          <w:i/>
        </w:rPr>
        <w:t>Pues bajo protesta de decir verdad no conozco alguna orden de valuación, por lo tanto niego conocer el objeto de la misma, esto es, se me deja en completo estado de indefensión al no conoce</w:t>
      </w:r>
      <w:r>
        <w:rPr>
          <w:rFonts w:ascii="Century" w:hAnsi="Century" w:cs="Calibri"/>
          <w:i/>
        </w:rPr>
        <w:t xml:space="preserve">r en que basa la autoridad sus </w:t>
      </w:r>
      <w:r w:rsidRPr="004C0097">
        <w:rPr>
          <w:rFonts w:ascii="Century" w:hAnsi="Century" w:cs="Calibri"/>
          <w:i/>
        </w:rPr>
        <w:t>a</w:t>
      </w:r>
      <w:r>
        <w:rPr>
          <w:rFonts w:ascii="Century" w:hAnsi="Century" w:cs="Calibri"/>
          <w:i/>
        </w:rPr>
        <w:t>c</w:t>
      </w:r>
      <w:r w:rsidRPr="004C0097">
        <w:rPr>
          <w:rFonts w:ascii="Century" w:hAnsi="Century" w:cs="Calibri"/>
          <w:i/>
        </w:rPr>
        <w:t>tos, violándose mis derechos fundamentales de audiencia, legalidad y seguridad jurídica, previstas en los artículos 14 y 16 Constitucionales, en los que tiene su apoyo los artículos 161, 164, 165, 168 y 176 todos de la Ley de Hacienda, ya que es un deber de la autoridad realizar la notificación de cualquier acto administrativo, que menoscabe las libertades del gobernado, justificar la procedencia del mismo y los preceptos citados como infringidos.”</w:t>
      </w:r>
    </w:p>
    <w:p w:rsidR="004157E4" w:rsidRPr="004C0097" w:rsidRDefault="004157E4" w:rsidP="004157E4">
      <w:pPr>
        <w:tabs>
          <w:tab w:val="left" w:pos="3975"/>
        </w:tabs>
        <w:spacing w:line="360" w:lineRule="auto"/>
        <w:ind w:firstLine="709"/>
        <w:jc w:val="both"/>
        <w:rPr>
          <w:rFonts w:ascii="Century" w:hAnsi="Century" w:cs="Calibri"/>
          <w:i/>
        </w:rPr>
      </w:pPr>
      <w:r w:rsidRPr="004C0097">
        <w:rPr>
          <w:rFonts w:ascii="Century" w:hAnsi="Century" w:cs="Calibri"/>
          <w:i/>
        </w:rPr>
        <w:t>En el presente caso, no existe orden de valuación que hubiera sido levantada con acta circunstanciada de los hechos ocurridos como lo ordena los artículos 176 y 177 de la Ley de Hacienda multicitada […]”</w:t>
      </w:r>
    </w:p>
    <w:p w:rsidR="004157E4" w:rsidRPr="004C0097" w:rsidRDefault="004157E4" w:rsidP="004157E4">
      <w:pPr>
        <w:tabs>
          <w:tab w:val="left" w:pos="3975"/>
        </w:tabs>
        <w:spacing w:line="360" w:lineRule="auto"/>
        <w:ind w:firstLine="709"/>
        <w:jc w:val="both"/>
        <w:rPr>
          <w:rFonts w:ascii="Century" w:hAnsi="Century" w:cs="Calibri"/>
          <w:i/>
        </w:rPr>
      </w:pPr>
    </w:p>
    <w:p w:rsidR="004157E4" w:rsidRDefault="004157E4" w:rsidP="004157E4">
      <w:pPr>
        <w:tabs>
          <w:tab w:val="left" w:pos="3975"/>
        </w:tabs>
        <w:spacing w:line="360" w:lineRule="auto"/>
        <w:ind w:firstLine="709"/>
        <w:jc w:val="both"/>
        <w:rPr>
          <w:rFonts w:ascii="Century" w:hAnsi="Century" w:cs="Calibri"/>
        </w:rPr>
      </w:pPr>
      <w:r>
        <w:rPr>
          <w:rFonts w:ascii="Century" w:hAnsi="Century" w:cs="Calibri"/>
        </w:rPr>
        <w:lastRenderedPageBreak/>
        <w:t xml:space="preserve">Por su parte, la autoridad demandada señala: </w:t>
      </w:r>
    </w:p>
    <w:p w:rsidR="004157E4" w:rsidRPr="004C0097" w:rsidRDefault="004157E4" w:rsidP="004157E4">
      <w:pPr>
        <w:tabs>
          <w:tab w:val="left" w:pos="3975"/>
        </w:tabs>
        <w:spacing w:line="360" w:lineRule="auto"/>
        <w:ind w:firstLine="709"/>
        <w:jc w:val="both"/>
        <w:rPr>
          <w:rFonts w:ascii="Century" w:hAnsi="Century" w:cs="Calibri"/>
          <w:i/>
        </w:rPr>
      </w:pPr>
      <w:r w:rsidRPr="004C0097">
        <w:rPr>
          <w:rFonts w:ascii="Century" w:hAnsi="Century" w:cs="Calibri"/>
          <w:i/>
        </w:rPr>
        <w:t>“Resulta falso e improcedente el agravio que se contesta, toda vez que contrario a lo que manifiesta el actor, para llegar a la determinación de modificación del valor fiscal del inmueble propiedad del actor se agotaron los requisitos establecidos en la Ley de Hacienda para los Municipios del Estado de Guanajuato, tal y como se acredita con la documental que fue ofrecida por la parte actora. De igual forma resulta falso e improcedente el agravio que se contesta, toda vez que contrario a lo que manifiesta el actor si existe la orden de valuación misma que fue notificada al promovente, tal y como lo establece el artículo 176 de la Ley de Hacienda […]”</w:t>
      </w:r>
    </w:p>
    <w:p w:rsidR="004157E4" w:rsidRDefault="004157E4" w:rsidP="004157E4">
      <w:pPr>
        <w:tabs>
          <w:tab w:val="left" w:pos="3975"/>
        </w:tabs>
        <w:spacing w:line="360" w:lineRule="auto"/>
        <w:ind w:firstLine="709"/>
        <w:jc w:val="both"/>
        <w:rPr>
          <w:rFonts w:ascii="Century" w:hAnsi="Century" w:cs="Calibri"/>
        </w:rPr>
      </w:pPr>
    </w:p>
    <w:p w:rsidR="004157E4" w:rsidRDefault="004157E4" w:rsidP="004157E4">
      <w:pPr>
        <w:tabs>
          <w:tab w:val="left" w:pos="3975"/>
        </w:tabs>
        <w:spacing w:line="360" w:lineRule="auto"/>
        <w:ind w:firstLine="709"/>
        <w:jc w:val="both"/>
        <w:rPr>
          <w:rFonts w:ascii="Century" w:hAnsi="Century" w:cs="Calibri"/>
        </w:rPr>
      </w:pPr>
      <w:r>
        <w:rPr>
          <w:rFonts w:ascii="Century" w:hAnsi="Century" w:cs="Calibri"/>
        </w:rPr>
        <w:t>Con expuesto anteriormente por las partes, quien resuelve determina que lo esgrimido por la parte actora, resulta</w:t>
      </w:r>
      <w:r w:rsidRPr="00B53067">
        <w:rPr>
          <w:rFonts w:ascii="Century" w:hAnsi="Century" w:cs="Calibri"/>
        </w:rPr>
        <w:t xml:space="preserve">n </w:t>
      </w:r>
      <w:r w:rsidRPr="004C0097">
        <w:rPr>
          <w:rFonts w:ascii="Century" w:hAnsi="Century" w:cs="Calibri"/>
          <w:b/>
        </w:rPr>
        <w:t>FUNDADOS</w:t>
      </w:r>
      <w:r w:rsidRPr="00B53067">
        <w:rPr>
          <w:rFonts w:ascii="Century" w:hAnsi="Century" w:cs="Calibri"/>
        </w:rPr>
        <w:t xml:space="preserve"> y suficientes para decretar la nulidad total de l</w:t>
      </w:r>
      <w:r>
        <w:rPr>
          <w:rFonts w:ascii="Century" w:hAnsi="Century" w:cs="Calibri"/>
        </w:rPr>
        <w:t xml:space="preserve">os actos impugnados, </w:t>
      </w:r>
      <w:r w:rsidRPr="00B53067">
        <w:rPr>
          <w:rFonts w:ascii="Century" w:hAnsi="Century" w:cs="Calibri"/>
        </w:rPr>
        <w:t xml:space="preserve">en atención a los siguientes razonamientos: </w:t>
      </w:r>
    </w:p>
    <w:p w:rsidR="004157E4" w:rsidRPr="00B53067" w:rsidRDefault="004157E4" w:rsidP="004157E4">
      <w:pPr>
        <w:tabs>
          <w:tab w:val="left" w:pos="3975"/>
        </w:tabs>
        <w:spacing w:line="360" w:lineRule="auto"/>
        <w:ind w:firstLine="709"/>
        <w:jc w:val="both"/>
        <w:rPr>
          <w:rFonts w:ascii="Century" w:hAnsi="Century" w:cs="Calibri"/>
        </w:rPr>
      </w:pPr>
    </w:p>
    <w:p w:rsidR="004157E4" w:rsidRDefault="004157E4" w:rsidP="004157E4">
      <w:pPr>
        <w:tabs>
          <w:tab w:val="left" w:pos="3975"/>
        </w:tabs>
        <w:spacing w:line="360" w:lineRule="auto"/>
        <w:ind w:firstLine="709"/>
        <w:jc w:val="both"/>
        <w:rPr>
          <w:rFonts w:ascii="Century" w:hAnsi="Century" w:cs="Calibri"/>
        </w:rPr>
      </w:pPr>
      <w:r>
        <w:rPr>
          <w:rFonts w:ascii="Century" w:hAnsi="Century" w:cs="Calibri"/>
        </w:rPr>
        <w:t>En esencia la parte actora señala que se le causa agravio debido a que previo a modificar el valor fiscal del inmueble de su propiedad, no fueron emitidas la orden de avalúo, ni fue llevada a cabo el acta circunstanciada; por su parte la autoridad manifiesta que sí existe orden de avalúo y que se llevó a cabo el procedimiento contemplado en la Ley de Hacienda para los Municipios del Estado de Guanajuato. Sobre el particular, resulta oportuno hacer referencia lo que señala la Ley de Hacienda en comento, respecto al procedimiento para llevar a cabo la modificación del valor fiscal de inmuebles por parte de la Tesorería Municipal. --------------------------------------------------------</w:t>
      </w:r>
    </w:p>
    <w:p w:rsidR="004157E4" w:rsidRDefault="004157E4" w:rsidP="004157E4">
      <w:pPr>
        <w:tabs>
          <w:tab w:val="left" w:pos="3975"/>
        </w:tabs>
        <w:spacing w:line="360" w:lineRule="auto"/>
        <w:ind w:firstLine="709"/>
        <w:jc w:val="both"/>
        <w:rPr>
          <w:rFonts w:ascii="Century" w:hAnsi="Century" w:cs="Calibri"/>
        </w:rPr>
      </w:pPr>
    </w:p>
    <w:p w:rsidR="004157E4" w:rsidRDefault="004157E4" w:rsidP="004157E4">
      <w:pPr>
        <w:tabs>
          <w:tab w:val="left" w:pos="3975"/>
        </w:tabs>
        <w:spacing w:line="360" w:lineRule="auto"/>
        <w:ind w:firstLine="709"/>
        <w:jc w:val="both"/>
        <w:rPr>
          <w:rFonts w:ascii="Century" w:hAnsi="Century" w:cs="Calibri"/>
        </w:rPr>
      </w:pPr>
    </w:p>
    <w:p w:rsidR="004157E4" w:rsidRPr="00823CAC" w:rsidRDefault="004157E4" w:rsidP="004157E4">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rsidR="004157E4" w:rsidRPr="00823CAC" w:rsidRDefault="004157E4" w:rsidP="004157E4">
      <w:pPr>
        <w:pStyle w:val="TESISYJURIS"/>
      </w:pPr>
    </w:p>
    <w:p w:rsidR="004157E4" w:rsidRPr="00823CAC" w:rsidRDefault="004157E4" w:rsidP="004157E4">
      <w:pPr>
        <w:pStyle w:val="TESISYJURIS"/>
      </w:pPr>
      <w:r w:rsidRPr="00823CAC">
        <w:t>I. Mediante el valor manifestado por los contribuyentes de sus inmuebles, aplicando los valores unitarios de suelo y construcciones que anualmente señale la Ley de Ingresos para los Municipios del Estado;</w:t>
      </w:r>
    </w:p>
    <w:p w:rsidR="004157E4" w:rsidRPr="00823CAC" w:rsidRDefault="004157E4" w:rsidP="004157E4">
      <w:pPr>
        <w:pStyle w:val="TESISYJURIS"/>
      </w:pPr>
    </w:p>
    <w:p w:rsidR="004157E4" w:rsidRPr="00823CAC" w:rsidRDefault="004157E4" w:rsidP="004157E4">
      <w:pPr>
        <w:pStyle w:val="TESISYJURIS"/>
      </w:pPr>
      <w:r w:rsidRPr="00823CAC">
        <w:t>II. Por avalúo practicado por peritos autorizados por la Tesorería Municipal; en tanto son valuados, el valor con que se encuentren registrados;</w:t>
      </w:r>
    </w:p>
    <w:p w:rsidR="004157E4" w:rsidRPr="00823CAC" w:rsidRDefault="004157E4" w:rsidP="004157E4">
      <w:pPr>
        <w:pStyle w:val="TESISYJURIS"/>
      </w:pPr>
    </w:p>
    <w:p w:rsidR="004157E4" w:rsidRPr="00823CAC" w:rsidRDefault="004157E4" w:rsidP="004157E4">
      <w:pPr>
        <w:pStyle w:val="TESISYJURIS"/>
      </w:pPr>
      <w:r w:rsidRPr="00823CAC">
        <w:t>III. (Fracción derogada. P.O. 25 de diciembre de 1990)</w:t>
      </w:r>
    </w:p>
    <w:p w:rsidR="004157E4" w:rsidRPr="00823CAC" w:rsidRDefault="004157E4" w:rsidP="004157E4">
      <w:pPr>
        <w:pStyle w:val="TESISYJURIS"/>
      </w:pPr>
    </w:p>
    <w:p w:rsidR="004157E4" w:rsidRPr="00823CAC" w:rsidRDefault="004157E4" w:rsidP="004157E4">
      <w:pPr>
        <w:pStyle w:val="TESISYJURIS"/>
      </w:pPr>
      <w:r w:rsidRPr="00823CAC">
        <w:t>IV. Por avalúo realizado por peritos autorizados por la Tesorería Municipal, usando medios o técnicas fotogramétricas.</w:t>
      </w:r>
    </w:p>
    <w:p w:rsidR="004157E4" w:rsidRPr="00823CAC" w:rsidRDefault="004157E4" w:rsidP="004157E4">
      <w:pPr>
        <w:pStyle w:val="TESISYJURIS"/>
      </w:pPr>
      <w:r w:rsidRPr="00823CAC">
        <w:t>(Fracción adicionada. P.O. 26 de diciembre de 1997)</w:t>
      </w:r>
    </w:p>
    <w:p w:rsidR="004157E4" w:rsidRPr="00823CAC" w:rsidRDefault="004157E4" w:rsidP="004157E4">
      <w:pPr>
        <w:jc w:val="both"/>
        <w:rPr>
          <w:rFonts w:ascii="Verdana" w:hAnsi="Verdana" w:cs="Arial"/>
          <w:sz w:val="20"/>
          <w:szCs w:val="20"/>
        </w:rPr>
      </w:pPr>
    </w:p>
    <w:p w:rsidR="004157E4" w:rsidRDefault="004157E4" w:rsidP="004157E4">
      <w:pPr>
        <w:tabs>
          <w:tab w:val="left" w:pos="3975"/>
        </w:tabs>
        <w:spacing w:line="360" w:lineRule="auto"/>
        <w:ind w:firstLine="709"/>
        <w:jc w:val="both"/>
        <w:rPr>
          <w:rFonts w:ascii="Century" w:hAnsi="Century" w:cs="Calibri"/>
        </w:rPr>
      </w:pPr>
    </w:p>
    <w:p w:rsidR="004157E4" w:rsidRPr="00823CAC" w:rsidRDefault="004157E4" w:rsidP="004157E4">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4157E4" w:rsidRPr="00823CAC" w:rsidRDefault="004157E4" w:rsidP="004157E4">
      <w:pPr>
        <w:pStyle w:val="TESISYJURIS"/>
      </w:pPr>
      <w:r w:rsidRPr="00823CAC">
        <w:t>(Párrafo reformado. P.O. 25 de diciembre de 1990)</w:t>
      </w:r>
    </w:p>
    <w:p w:rsidR="004157E4" w:rsidRPr="00823CAC" w:rsidRDefault="004157E4" w:rsidP="004157E4">
      <w:pPr>
        <w:pStyle w:val="TESISYJURIS"/>
      </w:pPr>
    </w:p>
    <w:p w:rsidR="004157E4" w:rsidRPr="00823CAC" w:rsidRDefault="004157E4" w:rsidP="004157E4">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4157E4" w:rsidRPr="00823CAC" w:rsidRDefault="004157E4" w:rsidP="004157E4">
      <w:pPr>
        <w:pStyle w:val="TESISYJURIS"/>
      </w:pPr>
      <w:r w:rsidRPr="00823CAC">
        <w:t>(Párrafo reformado. P.O. 22 de diciembre del 2000)</w:t>
      </w:r>
    </w:p>
    <w:p w:rsidR="004157E4" w:rsidRPr="00823CAC" w:rsidRDefault="004157E4" w:rsidP="004157E4">
      <w:pPr>
        <w:pStyle w:val="TESISYJURIS"/>
      </w:pPr>
    </w:p>
    <w:p w:rsidR="004157E4" w:rsidRPr="00823CAC" w:rsidRDefault="004157E4" w:rsidP="004157E4">
      <w:pPr>
        <w:pStyle w:val="TESISYJURIS"/>
      </w:pPr>
      <w:r w:rsidRPr="00823CAC">
        <w:t>Al término de la vigencia establecida y en tanto se practica el nuevo avalúo, la base del Impuesto Predial seguirá siendo la del último valor fiscal.</w:t>
      </w:r>
    </w:p>
    <w:p w:rsidR="004157E4" w:rsidRPr="00823CAC" w:rsidRDefault="004157E4" w:rsidP="004157E4">
      <w:pPr>
        <w:pStyle w:val="TESISYJURIS"/>
      </w:pPr>
      <w:r w:rsidRPr="00823CAC">
        <w:t>(Párrafo reformado. P.O. 26 de diciembre de 1997)</w:t>
      </w:r>
    </w:p>
    <w:p w:rsidR="004157E4" w:rsidRPr="00823CAC" w:rsidRDefault="004157E4" w:rsidP="004157E4">
      <w:pPr>
        <w:pStyle w:val="TESISYJURIS"/>
      </w:pPr>
    </w:p>
    <w:p w:rsidR="004157E4" w:rsidRPr="00823CAC" w:rsidRDefault="004157E4" w:rsidP="004157E4">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4157E4" w:rsidRPr="00823CAC" w:rsidRDefault="004157E4" w:rsidP="004157E4">
      <w:pPr>
        <w:pStyle w:val="TESISYJURIS"/>
      </w:pPr>
      <w:r w:rsidRPr="00823CAC">
        <w:t>(Párrafo adicionado. P.O. 22 de diciembre del 2000)</w:t>
      </w:r>
    </w:p>
    <w:p w:rsidR="004157E4" w:rsidRPr="00823CAC" w:rsidRDefault="004157E4" w:rsidP="004157E4">
      <w:pPr>
        <w:jc w:val="both"/>
        <w:rPr>
          <w:rFonts w:ascii="Verdana" w:hAnsi="Verdana" w:cs="Arial"/>
          <w:sz w:val="20"/>
          <w:szCs w:val="20"/>
        </w:rPr>
      </w:pPr>
    </w:p>
    <w:p w:rsidR="004157E4" w:rsidRPr="00823CAC" w:rsidRDefault="004157E4" w:rsidP="004157E4">
      <w:pPr>
        <w:pStyle w:val="TESISYJURIS"/>
      </w:pPr>
    </w:p>
    <w:p w:rsidR="004157E4" w:rsidRPr="00823CAC" w:rsidRDefault="004157E4" w:rsidP="004157E4">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rsidR="004157E4" w:rsidRPr="00823CAC" w:rsidRDefault="004157E4" w:rsidP="004157E4">
      <w:pPr>
        <w:pStyle w:val="TESISYJURIS"/>
      </w:pPr>
    </w:p>
    <w:p w:rsidR="004157E4" w:rsidRPr="00823CAC" w:rsidRDefault="004157E4" w:rsidP="004157E4">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rsidR="004157E4" w:rsidRPr="00823CAC" w:rsidRDefault="004157E4" w:rsidP="004157E4">
      <w:pPr>
        <w:pStyle w:val="TESISYJURIS"/>
      </w:pPr>
      <w:r w:rsidRPr="00823CAC">
        <w:t>(Párrafo reformado. P.O. 26 de diciembre de 1997)</w:t>
      </w:r>
    </w:p>
    <w:p w:rsidR="004157E4" w:rsidRPr="00823CAC" w:rsidRDefault="004157E4" w:rsidP="004157E4">
      <w:pPr>
        <w:pStyle w:val="TESISYJURIS"/>
      </w:pPr>
    </w:p>
    <w:p w:rsidR="004157E4" w:rsidRPr="00823CAC" w:rsidRDefault="004157E4" w:rsidP="004157E4">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4157E4" w:rsidRDefault="004157E4" w:rsidP="004157E4">
      <w:pPr>
        <w:jc w:val="both"/>
        <w:rPr>
          <w:rFonts w:ascii="Verdana" w:hAnsi="Verdana" w:cs="Arial"/>
          <w:sz w:val="20"/>
          <w:szCs w:val="20"/>
        </w:rPr>
      </w:pPr>
    </w:p>
    <w:p w:rsidR="004157E4" w:rsidRPr="00823CAC" w:rsidRDefault="004157E4" w:rsidP="004157E4">
      <w:pPr>
        <w:jc w:val="both"/>
        <w:rPr>
          <w:rFonts w:ascii="Verdana" w:hAnsi="Verdana" w:cs="Arial"/>
          <w:sz w:val="20"/>
          <w:szCs w:val="20"/>
        </w:rPr>
      </w:pPr>
    </w:p>
    <w:p w:rsidR="004157E4" w:rsidRPr="00823CAC" w:rsidRDefault="004157E4" w:rsidP="004157E4">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w:t>
      </w:r>
      <w:r w:rsidRPr="00823CAC">
        <w:lastRenderedPageBreak/>
        <w:t>hábiles y se identificarán con la documentación correspondiente, en el inmueble que deba ser objeto de la valuación y mostrarán a los ocupantes la orden respectiva.</w:t>
      </w:r>
    </w:p>
    <w:p w:rsidR="004157E4" w:rsidRPr="00823CAC" w:rsidRDefault="004157E4" w:rsidP="004157E4">
      <w:pPr>
        <w:pStyle w:val="TESISYJURIS"/>
      </w:pPr>
      <w:r w:rsidRPr="00823CAC">
        <w:t xml:space="preserve">(Párrafo reformado. P.O. 26 de diciembre de 1997) </w:t>
      </w:r>
    </w:p>
    <w:p w:rsidR="004157E4" w:rsidRPr="00823CAC" w:rsidRDefault="004157E4" w:rsidP="004157E4">
      <w:pPr>
        <w:pStyle w:val="TESISYJURIS"/>
      </w:pPr>
    </w:p>
    <w:p w:rsidR="004157E4" w:rsidRPr="00823CAC" w:rsidRDefault="004157E4" w:rsidP="004157E4">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4157E4" w:rsidRPr="00823CAC" w:rsidRDefault="004157E4" w:rsidP="004157E4">
      <w:pPr>
        <w:pStyle w:val="TESISYJURIS"/>
      </w:pPr>
    </w:p>
    <w:p w:rsidR="004157E4" w:rsidRPr="00823CAC" w:rsidRDefault="004157E4" w:rsidP="004157E4">
      <w:pPr>
        <w:pStyle w:val="TESISYJURIS"/>
      </w:pPr>
      <w:r w:rsidRPr="00823CAC">
        <w:t>En estos casos la valuación se hará con base en los elementos de que se disponga.</w:t>
      </w:r>
    </w:p>
    <w:p w:rsidR="004157E4" w:rsidRPr="00823CAC" w:rsidRDefault="004157E4" w:rsidP="004157E4">
      <w:pPr>
        <w:pStyle w:val="TESISYJURIS"/>
      </w:pPr>
      <w:r w:rsidRPr="00823CAC">
        <w:t xml:space="preserve"> </w:t>
      </w:r>
    </w:p>
    <w:p w:rsidR="004157E4" w:rsidRDefault="004157E4" w:rsidP="004157E4">
      <w:pPr>
        <w:jc w:val="both"/>
        <w:rPr>
          <w:rFonts w:ascii="Verdana" w:hAnsi="Verdana" w:cs="Arial"/>
          <w:b/>
          <w:bCs/>
          <w:sz w:val="20"/>
          <w:szCs w:val="20"/>
        </w:rPr>
      </w:pPr>
    </w:p>
    <w:p w:rsidR="004157E4" w:rsidRPr="00823CAC" w:rsidRDefault="004157E4" w:rsidP="004157E4">
      <w:pPr>
        <w:pStyle w:val="TESISYJURIS"/>
        <w:rPr>
          <w:lang w:val="es-MX"/>
        </w:rPr>
      </w:pPr>
      <w:r w:rsidRPr="00823CAC">
        <w:rPr>
          <w:b/>
        </w:rPr>
        <w:t>ARTÍCULO</w:t>
      </w:r>
      <w:r w:rsidRPr="00823CAC">
        <w:t xml:space="preserve"> </w:t>
      </w:r>
      <w:r w:rsidRPr="00823CAC">
        <w:rPr>
          <w:b/>
        </w:rPr>
        <w:t>178.</w:t>
      </w:r>
      <w:r w:rsidRPr="00823CAC">
        <w:t xml:space="preserve"> </w:t>
      </w:r>
      <w:r w:rsidRPr="00823CAC">
        <w:rPr>
          <w:lang w:val="es-MX"/>
        </w:rPr>
        <w:t>Los derechos por la práctica de avalúos serán cubiertos de acuerdo con las cuotas que se establezcan anualmente en las leyes de ingresos para los municipios del estado de Guanajuato, en los casos siguientes:</w:t>
      </w:r>
    </w:p>
    <w:p w:rsidR="004157E4" w:rsidRPr="00823CAC" w:rsidRDefault="004157E4" w:rsidP="004157E4">
      <w:pPr>
        <w:pStyle w:val="TESISYJURIS"/>
        <w:rPr>
          <w:lang w:val="es-MX"/>
        </w:rPr>
      </w:pPr>
      <w:r w:rsidRPr="00823CAC">
        <w:rPr>
          <w:lang w:val="es-MX"/>
        </w:rPr>
        <w:t>(Primer párrafo reformado. P.O. 25 de septiembre de 2015)</w:t>
      </w:r>
    </w:p>
    <w:p w:rsidR="004157E4" w:rsidRPr="00823CAC" w:rsidRDefault="004157E4" w:rsidP="004157E4">
      <w:pPr>
        <w:pStyle w:val="TESISYJURIS"/>
      </w:pPr>
    </w:p>
    <w:p w:rsidR="004157E4" w:rsidRPr="00823CAC" w:rsidRDefault="004157E4" w:rsidP="004157E4">
      <w:pPr>
        <w:pStyle w:val="TESISYJURIS"/>
        <w:rPr>
          <w:lang w:val="es-MX"/>
        </w:rPr>
      </w:pPr>
      <w:r w:rsidRPr="00823CAC">
        <w:t xml:space="preserve">I. </w:t>
      </w:r>
      <w:r w:rsidRPr="00823CAC">
        <w:rPr>
          <w:lang w:val="es-MX"/>
        </w:rPr>
        <w:t>No se haya aprobado el presentado, para determinar la base del impuesto sobre adquisición de bienes inmuebles;</w:t>
      </w:r>
    </w:p>
    <w:p w:rsidR="004157E4" w:rsidRPr="00823CAC" w:rsidRDefault="004157E4" w:rsidP="004157E4">
      <w:pPr>
        <w:pStyle w:val="TESISYJURIS"/>
        <w:rPr>
          <w:lang w:val="es-MX"/>
        </w:rPr>
      </w:pPr>
      <w:r w:rsidRPr="00823CAC">
        <w:rPr>
          <w:lang w:val="es-MX"/>
        </w:rPr>
        <w:t>(Fracción Reformada. P.O. 25 de septiembre de 2015)</w:t>
      </w:r>
    </w:p>
    <w:p w:rsidR="004157E4" w:rsidRPr="00823CAC" w:rsidRDefault="004157E4" w:rsidP="004157E4">
      <w:pPr>
        <w:pStyle w:val="TESISYJURIS"/>
      </w:pPr>
    </w:p>
    <w:p w:rsidR="004157E4" w:rsidRPr="00823CAC" w:rsidRDefault="004157E4" w:rsidP="004157E4">
      <w:pPr>
        <w:pStyle w:val="TESISYJURIS"/>
      </w:pPr>
      <w:r w:rsidRPr="00823CAC">
        <w:t>II. Medie solicitud del interesado;</w:t>
      </w:r>
    </w:p>
    <w:p w:rsidR="004157E4" w:rsidRPr="00823CAC" w:rsidRDefault="004157E4" w:rsidP="004157E4">
      <w:pPr>
        <w:pStyle w:val="TESISYJURIS"/>
      </w:pPr>
    </w:p>
    <w:p w:rsidR="004157E4" w:rsidRPr="00823CAC" w:rsidRDefault="004157E4" w:rsidP="004157E4">
      <w:pPr>
        <w:pStyle w:val="TESISYJURIS"/>
      </w:pPr>
      <w:r w:rsidRPr="00823CAC">
        <w:t>III. Se realicen construcciones o mejoras; y</w:t>
      </w:r>
    </w:p>
    <w:p w:rsidR="004157E4" w:rsidRPr="00823CAC" w:rsidRDefault="004157E4" w:rsidP="004157E4">
      <w:pPr>
        <w:pStyle w:val="TESISYJURIS"/>
      </w:pPr>
    </w:p>
    <w:p w:rsidR="004157E4" w:rsidRPr="00823CAC" w:rsidRDefault="004157E4" w:rsidP="004157E4">
      <w:pPr>
        <w:pStyle w:val="TESISYJURIS"/>
      </w:pPr>
      <w:r w:rsidRPr="00823CAC">
        <w:t>IV. Existan inmuebles ocultos a la acción fiscal.</w:t>
      </w:r>
    </w:p>
    <w:p w:rsidR="004157E4" w:rsidRDefault="004157E4" w:rsidP="004157E4">
      <w:pPr>
        <w:pStyle w:val="TESISYJURIS"/>
      </w:pPr>
    </w:p>
    <w:p w:rsidR="004157E4" w:rsidRPr="00823CAC" w:rsidRDefault="004157E4" w:rsidP="004157E4">
      <w:pPr>
        <w:pStyle w:val="TESISYJURIS"/>
      </w:pPr>
    </w:p>
    <w:p w:rsidR="004157E4" w:rsidRPr="00823CAC" w:rsidRDefault="004157E4" w:rsidP="004157E4">
      <w:pPr>
        <w:pStyle w:val="RESOLUCIONES"/>
      </w:pPr>
      <w:r>
        <w:rPr>
          <w:rFonts w:cs="Arial Narrow"/>
        </w:rPr>
        <w:t xml:space="preserve">Haciendo una interpretación de los artículos en cita, podemos destacar que el valor fiscal de los inmuebles, puede ser modificado </w:t>
      </w:r>
      <w:r w:rsidRPr="00823CAC">
        <w:t>por la manifestación del valor de los inmuebles de 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 xml:space="preserve">presentarse en hora y día hábiles y </w:t>
      </w:r>
      <w:r w:rsidRPr="00823CAC">
        <w:lastRenderedPageBreak/>
        <w:t>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rsidR="004157E4" w:rsidRPr="00823CAC" w:rsidRDefault="004157E4" w:rsidP="004157E4">
      <w:pPr>
        <w:pStyle w:val="RESOLUCIONES"/>
      </w:pPr>
    </w:p>
    <w:p w:rsidR="004157E4" w:rsidRDefault="004157E4" w:rsidP="004157E4">
      <w:pPr>
        <w:pStyle w:val="SENTENCIAS"/>
      </w:pPr>
      <w:r>
        <w:t>En el presente caso, la parte actora tuvo conocimiento de la notificación de fecha 08 ocho de agosto del año 2014 dos mil catorce, con folio 1024863 (uno cero dos cuatro ocho seis tres), en el cual se señala lo siguiente:</w:t>
      </w:r>
    </w:p>
    <w:p w:rsidR="004157E4" w:rsidRDefault="004157E4" w:rsidP="004157E4">
      <w:pPr>
        <w:pStyle w:val="SENTENCIAS"/>
      </w:pPr>
    </w:p>
    <w:p w:rsidR="004157E4" w:rsidRPr="004C0097" w:rsidRDefault="004157E4" w:rsidP="004157E4">
      <w:pPr>
        <w:pStyle w:val="SENTENCIAS"/>
        <w:rPr>
          <w:sz w:val="20"/>
        </w:rPr>
      </w:pPr>
      <w:proofErr w:type="gramStart"/>
      <w:r w:rsidRPr="004C0097">
        <w:rPr>
          <w:sz w:val="20"/>
        </w:rPr>
        <w:t>“ [</w:t>
      </w:r>
      <w:proofErr w:type="gramEnd"/>
      <w:r w:rsidRPr="004C0097">
        <w:rPr>
          <w:sz w:val="20"/>
        </w:rPr>
        <w:t>…] notificamos a usted (es) el resultado del avalúo practicado en el inmueble de su propiedad según copia adjunta y descripción al calce”</w:t>
      </w:r>
    </w:p>
    <w:p w:rsidR="004157E4" w:rsidRPr="004C0097" w:rsidRDefault="004157E4" w:rsidP="004157E4">
      <w:pPr>
        <w:pStyle w:val="SENTENCIAS"/>
        <w:rPr>
          <w:sz w:val="20"/>
        </w:rPr>
      </w:pPr>
      <w:r w:rsidRPr="004C0097">
        <w:rPr>
          <w:sz w:val="20"/>
        </w:rPr>
        <w:t>CUENTA PREDIAL: 01-P-004733-012</w:t>
      </w:r>
    </w:p>
    <w:p w:rsidR="004157E4" w:rsidRPr="004C0097" w:rsidRDefault="004157E4" w:rsidP="004157E4">
      <w:pPr>
        <w:pStyle w:val="SENTENCIAS"/>
        <w:rPr>
          <w:sz w:val="20"/>
        </w:rPr>
      </w:pPr>
      <w:r w:rsidRPr="004C0097">
        <w:rPr>
          <w:sz w:val="20"/>
        </w:rPr>
        <w:t>CUENTA CATASTRAL: 06-002-002-001-101</w:t>
      </w:r>
    </w:p>
    <w:p w:rsidR="004157E4" w:rsidRPr="004C0097" w:rsidRDefault="004157E4" w:rsidP="004157E4">
      <w:pPr>
        <w:pStyle w:val="SENTENCIAS"/>
        <w:rPr>
          <w:sz w:val="20"/>
        </w:rPr>
      </w:pPr>
      <w:r w:rsidRPr="004C0097">
        <w:rPr>
          <w:sz w:val="20"/>
        </w:rPr>
        <w:t>EFECTOS: 2015(1</w:t>
      </w:r>
    </w:p>
    <w:p w:rsidR="004157E4" w:rsidRPr="004C0097" w:rsidRDefault="004157E4" w:rsidP="004157E4">
      <w:pPr>
        <w:pStyle w:val="SENTENCIAS"/>
        <w:rPr>
          <w:sz w:val="20"/>
        </w:rPr>
      </w:pPr>
      <w:r w:rsidRPr="004C0097">
        <w:rPr>
          <w:sz w:val="20"/>
        </w:rPr>
        <w:t>MOTIVO DE AVALUO: REGULARIZACIÓ</w:t>
      </w:r>
    </w:p>
    <w:p w:rsidR="004157E4" w:rsidRPr="004C0097" w:rsidRDefault="004157E4" w:rsidP="004157E4">
      <w:pPr>
        <w:pStyle w:val="SENTENCIAS"/>
        <w:rPr>
          <w:sz w:val="20"/>
        </w:rPr>
      </w:pPr>
      <w:r w:rsidRPr="004C0097">
        <w:rPr>
          <w:sz w:val="20"/>
        </w:rPr>
        <w:t>UBICACIÓN DEL PREDIO</w:t>
      </w:r>
    </w:p>
    <w:p w:rsidR="004157E4" w:rsidRPr="004C0097" w:rsidRDefault="008320CF" w:rsidP="004157E4">
      <w:pPr>
        <w:pStyle w:val="SENTENCIAS"/>
        <w:rPr>
          <w:sz w:val="20"/>
        </w:rPr>
      </w:pPr>
      <w:r>
        <w:rPr>
          <w:sz w:val="20"/>
        </w:rPr>
        <w:t>*************</w:t>
      </w:r>
    </w:p>
    <w:p w:rsidR="004157E4" w:rsidRPr="004C0097" w:rsidRDefault="008320CF" w:rsidP="004157E4">
      <w:pPr>
        <w:pStyle w:val="SENTENCIAS"/>
        <w:rPr>
          <w:sz w:val="20"/>
        </w:rPr>
      </w:pPr>
      <w:r>
        <w:rPr>
          <w:sz w:val="20"/>
        </w:rPr>
        <w:t>*************</w:t>
      </w:r>
    </w:p>
    <w:p w:rsidR="004157E4" w:rsidRPr="004C0097" w:rsidRDefault="004157E4" w:rsidP="004157E4">
      <w:pPr>
        <w:pStyle w:val="SENTENCIAS"/>
        <w:rPr>
          <w:sz w:val="20"/>
        </w:rPr>
      </w:pPr>
      <w:r w:rsidRPr="004C0097">
        <w:rPr>
          <w:sz w:val="20"/>
        </w:rPr>
        <w:t>NUEVO VALOR FISCAL: $331,798.74</w:t>
      </w:r>
    </w:p>
    <w:p w:rsidR="004157E4" w:rsidRPr="004C0097" w:rsidRDefault="004157E4" w:rsidP="004157E4">
      <w:pPr>
        <w:pStyle w:val="SENTENCIAS"/>
        <w:rPr>
          <w:sz w:val="20"/>
        </w:rPr>
      </w:pPr>
      <w:r w:rsidRPr="004C0097">
        <w:rPr>
          <w:sz w:val="20"/>
        </w:rPr>
        <w:t>CUOTA ANUAL SIG. AÑO: $776.40</w:t>
      </w:r>
    </w:p>
    <w:p w:rsidR="004157E4" w:rsidRPr="004C0097" w:rsidRDefault="004157E4" w:rsidP="004157E4">
      <w:pPr>
        <w:pStyle w:val="SENTENCIAS"/>
        <w:rPr>
          <w:sz w:val="20"/>
        </w:rPr>
      </w:pPr>
      <w:r w:rsidRPr="004C0097">
        <w:rPr>
          <w:sz w:val="20"/>
        </w:rPr>
        <w:t>CUOTA BIMES. SIG. AÑO: $129.40</w:t>
      </w:r>
    </w:p>
    <w:p w:rsidR="004157E4" w:rsidRPr="004C0097" w:rsidRDefault="004157E4" w:rsidP="004157E4">
      <w:pPr>
        <w:pStyle w:val="SENTENCIAS"/>
        <w:rPr>
          <w:sz w:val="20"/>
        </w:rPr>
      </w:pPr>
      <w:r w:rsidRPr="004C0097">
        <w:rPr>
          <w:sz w:val="20"/>
        </w:rPr>
        <w:t>PERIODO DE PAGO:2014/06-2014/06</w:t>
      </w:r>
    </w:p>
    <w:p w:rsidR="004157E4" w:rsidRPr="004C0097" w:rsidRDefault="004157E4" w:rsidP="004157E4">
      <w:pPr>
        <w:pStyle w:val="SENTENCIAS"/>
        <w:rPr>
          <w:sz w:val="20"/>
        </w:rPr>
      </w:pPr>
      <w:r w:rsidRPr="004C0097">
        <w:rPr>
          <w:sz w:val="20"/>
        </w:rPr>
        <w:t xml:space="preserve">T A S </w:t>
      </w:r>
      <w:proofErr w:type="gramStart"/>
      <w:r w:rsidRPr="004C0097">
        <w:rPr>
          <w:sz w:val="20"/>
        </w:rPr>
        <w:t>A :</w:t>
      </w:r>
      <w:proofErr w:type="gramEnd"/>
      <w:r w:rsidRPr="004C0097">
        <w:rPr>
          <w:sz w:val="20"/>
        </w:rPr>
        <w:t xml:space="preserve"> .2340</w:t>
      </w:r>
    </w:p>
    <w:p w:rsidR="004157E4" w:rsidRDefault="004157E4" w:rsidP="004157E4">
      <w:pPr>
        <w:pStyle w:val="SENTENCIAS"/>
      </w:pPr>
    </w:p>
    <w:p w:rsidR="004157E4" w:rsidRDefault="004157E4" w:rsidP="004157E4">
      <w:pPr>
        <w:pStyle w:val="RESOLUCIONES"/>
      </w:pPr>
    </w:p>
    <w:p w:rsidR="004157E4" w:rsidRDefault="004157E4" w:rsidP="004157E4">
      <w:pPr>
        <w:pStyle w:val="SENTENCIAS"/>
      </w:pPr>
      <w:r>
        <w:t xml:space="preserve">Asimismo, se le adjunta a dicha notificación, el avalúo folio 250369 (dos cinco cero tres seis nueve) relativo a la cuenta predial 01P004733012 (cero uno letra P cero </w:t>
      </w:r>
      <w:proofErr w:type="spellStart"/>
      <w:r>
        <w:t>cero</w:t>
      </w:r>
      <w:proofErr w:type="spellEnd"/>
      <w:r>
        <w:t xml:space="preserve"> cuatro siete tres </w:t>
      </w:r>
      <w:proofErr w:type="spellStart"/>
      <w:r>
        <w:t>tres</w:t>
      </w:r>
      <w:proofErr w:type="spellEnd"/>
      <w:r>
        <w:t xml:space="preserve"> cero uno dos)</w:t>
      </w:r>
      <w:r w:rsidDel="00F941BA">
        <w:t xml:space="preserve"> </w:t>
      </w:r>
      <w:r>
        <w:t>--------------------------------</w:t>
      </w:r>
    </w:p>
    <w:p w:rsidR="004157E4" w:rsidRDefault="004157E4" w:rsidP="004157E4">
      <w:pPr>
        <w:tabs>
          <w:tab w:val="left" w:pos="3975"/>
        </w:tabs>
        <w:spacing w:line="360" w:lineRule="auto"/>
        <w:ind w:firstLine="709"/>
        <w:jc w:val="both"/>
        <w:rPr>
          <w:rFonts w:ascii="Century" w:hAnsi="Century"/>
        </w:rPr>
      </w:pPr>
    </w:p>
    <w:p w:rsidR="004157E4" w:rsidRDefault="004157E4" w:rsidP="004157E4">
      <w:pPr>
        <w:pStyle w:val="SENTENCIAS"/>
      </w:pPr>
      <w:r w:rsidRPr="0039501A">
        <w:t xml:space="preserve">De lo </w:t>
      </w:r>
      <w:r w:rsidRPr="00E467D3">
        <w:t xml:space="preserve">documentos anteriores, se desprende que fue modificado el valor fiscal del inmueble con cuenta predial 01P004733012 (cero uno Letra P cero </w:t>
      </w:r>
      <w:proofErr w:type="spellStart"/>
      <w:r w:rsidRPr="00E467D3">
        <w:t>cero</w:t>
      </w:r>
      <w:proofErr w:type="spellEnd"/>
      <w:r w:rsidRPr="00E467D3">
        <w:t xml:space="preserve"> cuatro siete tres </w:t>
      </w:r>
      <w:proofErr w:type="spellStart"/>
      <w:r w:rsidRPr="00E467D3">
        <w:t>tres</w:t>
      </w:r>
      <w:proofErr w:type="spellEnd"/>
      <w:r w:rsidRPr="00E467D3">
        <w:t xml:space="preserve"> cero uno dos), ubicado en </w:t>
      </w:r>
      <w:r w:rsidR="008320CF">
        <w:t>*****************</w:t>
      </w:r>
      <w:r w:rsidRPr="00C21938">
        <w:t xml:space="preserve">, sin embargo, el actor </w:t>
      </w:r>
      <w:r w:rsidRPr="00912FF5">
        <w:t xml:space="preserve">niega lisa y llanamente que le haya sido </w:t>
      </w:r>
      <w:r w:rsidRPr="004C0097">
        <w:t xml:space="preserve">notificado la orden de avalúo, ni llevado a cabo la visita de inspección, ante tal negativa, de conformidad con lo señalado en el artículo 40 de la Ley de Hacienda para los </w:t>
      </w:r>
      <w:r w:rsidRPr="004C0097">
        <w:lastRenderedPageBreak/>
        <w:t>Municipios del</w:t>
      </w:r>
      <w:r>
        <w:t xml:space="preserve"> Estado de Guanajuato y 47 del Código de Procedimiento y Justicia Administrativa para el Estado y los Municipios de Guanajuato, las autoridades deberán de probar los hechos que motiven sus actos, en el caso en particular ante la negativa manifiesta del  actor, en el sentido de que se haya emitido una orden de avalúo y realizado la visita por parte de peritos, correspondía a la autoridad demandada aportar a la presente causa, las constancias que acrediten fehacientemente que dichos actos se llevaron a cabo, cumpliendo los requisitos señalados en la Ley de Hacienda antes referida, máxime que en la contestación a la demanda, el Tesorero Municipal manifiesta que </w:t>
      </w:r>
      <w:r w:rsidRPr="004C0097">
        <w:rPr>
          <w:i/>
        </w:rPr>
        <w:t>“sí existe la orden de valuación misma que fue notificada al promovente”</w:t>
      </w:r>
      <w:r>
        <w:t>, no obstante su afirmación no aportó dicha documental, ni acreditó que la misma haya sido notificada al justiciable. -----------------------------------------------------------------------</w:t>
      </w:r>
    </w:p>
    <w:p w:rsidR="004157E4" w:rsidRDefault="004157E4" w:rsidP="004157E4">
      <w:pPr>
        <w:tabs>
          <w:tab w:val="left" w:pos="3975"/>
        </w:tabs>
        <w:spacing w:line="360" w:lineRule="auto"/>
        <w:ind w:firstLine="709"/>
        <w:jc w:val="both"/>
        <w:rPr>
          <w:rFonts w:ascii="Century" w:hAnsi="Century"/>
        </w:rPr>
      </w:pPr>
    </w:p>
    <w:p w:rsidR="004157E4" w:rsidRDefault="004157E4" w:rsidP="004157E4">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Pr>
          <w:rFonts w:ascii="Century" w:hAnsi="Century"/>
        </w:rPr>
        <w:t xml:space="preserve">la orden de avalúo,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p>
    <w:p w:rsidR="004157E4" w:rsidRDefault="004157E4" w:rsidP="004157E4">
      <w:pPr>
        <w:tabs>
          <w:tab w:val="left" w:pos="3975"/>
        </w:tabs>
        <w:spacing w:line="360" w:lineRule="auto"/>
        <w:ind w:firstLine="709"/>
        <w:jc w:val="both"/>
        <w:rPr>
          <w:rFonts w:ascii="Century" w:hAnsi="Century"/>
        </w:rPr>
      </w:pPr>
    </w:p>
    <w:p w:rsidR="004157E4" w:rsidRPr="00D47FD1" w:rsidRDefault="004157E4" w:rsidP="004157E4">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rsidR="004157E4" w:rsidRDefault="004157E4" w:rsidP="004157E4">
      <w:pPr>
        <w:tabs>
          <w:tab w:val="left" w:pos="3975"/>
        </w:tabs>
        <w:spacing w:line="360" w:lineRule="auto"/>
        <w:ind w:firstLine="709"/>
        <w:jc w:val="both"/>
        <w:rPr>
          <w:rFonts w:ascii="Century" w:hAnsi="Century"/>
        </w:rPr>
      </w:pPr>
    </w:p>
    <w:p w:rsidR="004157E4" w:rsidRPr="005962DE" w:rsidRDefault="004157E4" w:rsidP="004157E4">
      <w:pPr>
        <w:tabs>
          <w:tab w:val="left" w:pos="3975"/>
        </w:tabs>
        <w:spacing w:line="360" w:lineRule="auto"/>
        <w:ind w:firstLine="709"/>
        <w:jc w:val="both"/>
        <w:rPr>
          <w:rFonts w:ascii="Century" w:hAnsi="Century"/>
        </w:rPr>
      </w:pPr>
    </w:p>
    <w:p w:rsidR="004157E4" w:rsidRDefault="004157E4" w:rsidP="004157E4">
      <w:pPr>
        <w:tabs>
          <w:tab w:val="left" w:pos="3975"/>
        </w:tabs>
        <w:spacing w:line="360" w:lineRule="auto"/>
        <w:ind w:firstLine="709"/>
        <w:jc w:val="both"/>
        <w:rPr>
          <w:rFonts w:ascii="Century" w:hAnsi="Century"/>
        </w:rPr>
      </w:pPr>
      <w:r w:rsidRPr="005962DE">
        <w:rPr>
          <w:rFonts w:ascii="Century" w:hAnsi="Century"/>
        </w:rPr>
        <w:t>Por tanto, si en la especie la autoridad demandada no acreditó que se haya</w:t>
      </w:r>
      <w:r>
        <w:rPr>
          <w:rFonts w:ascii="Century" w:hAnsi="Century"/>
        </w:rPr>
        <w:t xml:space="preserve"> emitido la orden de avalúo y llevado a cabo la inspección por los peritos autorizados, de conformidad a lo señalado por el artículo 176, primer párrafo, y 177, primer párrafo de la Ley de Hacienda para los Municipios del Estado de Guanajuato, que a la letra disponen:</w:t>
      </w:r>
    </w:p>
    <w:p w:rsidR="004157E4" w:rsidRDefault="004157E4" w:rsidP="004157E4">
      <w:pPr>
        <w:tabs>
          <w:tab w:val="left" w:pos="3975"/>
        </w:tabs>
        <w:spacing w:line="360" w:lineRule="auto"/>
        <w:ind w:firstLine="709"/>
        <w:jc w:val="both"/>
        <w:rPr>
          <w:rFonts w:ascii="Century" w:hAnsi="Century"/>
        </w:rPr>
      </w:pPr>
    </w:p>
    <w:p w:rsidR="004157E4" w:rsidRPr="00823CAC" w:rsidRDefault="004157E4" w:rsidP="004157E4">
      <w:pPr>
        <w:pStyle w:val="TESISYJURIS"/>
      </w:pPr>
      <w:r w:rsidRPr="00823CAC">
        <w:rPr>
          <w:b/>
        </w:rPr>
        <w:t>ARTÍCULO</w:t>
      </w:r>
      <w:r w:rsidRPr="00823CAC">
        <w:t xml:space="preserve"> </w:t>
      </w:r>
      <w:r w:rsidRPr="00823CAC">
        <w:rPr>
          <w:b/>
        </w:rPr>
        <w:t>176.</w:t>
      </w:r>
      <w:r w:rsidRPr="00823CAC">
        <w:t xml:space="preserve"> </w:t>
      </w:r>
      <w:r w:rsidRPr="004C0097">
        <w:rPr>
          <w:u w:val="single"/>
        </w:rPr>
        <w:t>La práctica de todo avalúo deberá ser ordenada por la Tesorería Municipal por escrito</w:t>
      </w:r>
      <w:r w:rsidRPr="00823CAC">
        <w:t xml:space="preserve"> en los casos que esta Ley establece y será practicada por los peritos que se designen para este efecto.</w:t>
      </w:r>
    </w:p>
    <w:p w:rsidR="004157E4" w:rsidRPr="00823CAC" w:rsidRDefault="004157E4" w:rsidP="004157E4">
      <w:pPr>
        <w:pStyle w:val="TESISYJURIS"/>
      </w:pPr>
    </w:p>
    <w:p w:rsidR="004157E4" w:rsidRDefault="004157E4" w:rsidP="004157E4">
      <w:pPr>
        <w:tabs>
          <w:tab w:val="left" w:pos="3975"/>
        </w:tabs>
        <w:spacing w:line="360" w:lineRule="auto"/>
        <w:ind w:firstLine="709"/>
        <w:jc w:val="both"/>
        <w:rPr>
          <w:rFonts w:ascii="Century" w:hAnsi="Century"/>
        </w:rPr>
      </w:pPr>
    </w:p>
    <w:p w:rsidR="004157E4" w:rsidRPr="00823CAC" w:rsidRDefault="004157E4" w:rsidP="004157E4">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w:t>
      </w:r>
      <w:r w:rsidRPr="004C0097">
        <w:rPr>
          <w:u w:val="single"/>
        </w:rPr>
        <w:t>los peritos deberán presentarse en hora y día hábiles y se identificarán con la documentación correspondiente</w:t>
      </w:r>
      <w:r w:rsidRPr="00823CAC">
        <w:t>, en el inmueble que deba ser objeto de la valuación y mostrarán a los ocupantes la orden respectiva.</w:t>
      </w:r>
    </w:p>
    <w:p w:rsidR="004157E4" w:rsidRDefault="004157E4" w:rsidP="004157E4">
      <w:pPr>
        <w:tabs>
          <w:tab w:val="left" w:pos="3975"/>
        </w:tabs>
        <w:spacing w:line="360" w:lineRule="auto"/>
        <w:ind w:firstLine="709"/>
        <w:jc w:val="both"/>
        <w:rPr>
          <w:rFonts w:ascii="Century" w:hAnsi="Century"/>
        </w:rPr>
      </w:pPr>
    </w:p>
    <w:p w:rsidR="004157E4" w:rsidRDefault="004157E4" w:rsidP="004157E4">
      <w:pPr>
        <w:tabs>
          <w:tab w:val="left" w:pos="3975"/>
        </w:tabs>
        <w:spacing w:line="360" w:lineRule="auto"/>
        <w:ind w:firstLine="709"/>
        <w:jc w:val="both"/>
        <w:rPr>
          <w:rFonts w:ascii="Century" w:hAnsi="Century"/>
        </w:rPr>
      </w:pPr>
    </w:p>
    <w:p w:rsidR="004157E4" w:rsidRPr="0039501A" w:rsidRDefault="004157E4" w:rsidP="004157E4">
      <w:pPr>
        <w:pStyle w:val="SENTENCIAS"/>
      </w:pPr>
      <w:r w:rsidRPr="00DA2DD3">
        <w:t xml:space="preserve">Así las cosas, la </w:t>
      </w:r>
      <w:r>
        <w:t>demandada p</w:t>
      </w:r>
      <w:r w:rsidRPr="0039501A">
        <w:t>ar</w:t>
      </w:r>
      <w:r w:rsidRPr="00E467D3">
        <w:t>a</w:t>
      </w:r>
      <w:r w:rsidRPr="00C21938">
        <w:t xml:space="preserve"> llevar a cabo </w:t>
      </w:r>
      <w:r w:rsidRPr="00912FF5">
        <w:t xml:space="preserve">la actualización </w:t>
      </w:r>
      <w:r w:rsidRPr="004C0097">
        <w:t xml:space="preserve">del valor fiscal del inmueble propiedad del actor, </w:t>
      </w:r>
      <w:r>
        <w:t xml:space="preserve">no llevó a cabo el procedimiento </w:t>
      </w:r>
      <w:r w:rsidRPr="0039501A">
        <w:t xml:space="preserve">señalado en los artículos </w:t>
      </w:r>
      <w:r w:rsidRPr="00E467D3">
        <w:t>168, 176 y 177 de la Ley de Hacienda para los Municipios del Estado de Guanajuato</w:t>
      </w:r>
      <w:r w:rsidRPr="00C21938">
        <w:t xml:space="preserve">, por lo que se </w:t>
      </w:r>
      <w:r w:rsidRPr="00912FF5">
        <w:t>actualiza</w:t>
      </w:r>
      <w:r w:rsidRPr="004C0097">
        <w:t xml:space="preserve"> la irregularidad prevista en el artículo 302, fracción III,  del Código de Procedimiento y Justicia Administrativa para el Estado y los Municipios de Guanajuato, y en los términos de la fracción II del artículo 300 del citado Código, se decreta </w:t>
      </w:r>
      <w:r w:rsidRPr="0039501A">
        <w:t xml:space="preserve">la </w:t>
      </w:r>
      <w:r w:rsidRPr="004C0097">
        <w:t xml:space="preserve">nulidad total </w:t>
      </w:r>
      <w:r w:rsidRPr="0039501A">
        <w:t xml:space="preserve">de la </w:t>
      </w:r>
      <w:r w:rsidRPr="004C0097">
        <w:t>actualización del valor fiscal</w:t>
      </w:r>
      <w:r w:rsidRPr="0039501A">
        <w:t xml:space="preserve"> </w:t>
      </w:r>
      <w:r w:rsidRPr="00E467D3">
        <w:t xml:space="preserve">de la cuenta predial cuenta predial 01P004733012 (cero uno Letra P cero </w:t>
      </w:r>
      <w:proofErr w:type="spellStart"/>
      <w:r w:rsidRPr="00E467D3">
        <w:t>cero</w:t>
      </w:r>
      <w:proofErr w:type="spellEnd"/>
      <w:r w:rsidRPr="00E467D3">
        <w:t xml:space="preserve"> cuatro siete tres </w:t>
      </w:r>
      <w:proofErr w:type="spellStart"/>
      <w:r w:rsidRPr="00E467D3">
        <w:t>tres</w:t>
      </w:r>
      <w:proofErr w:type="spellEnd"/>
      <w:r w:rsidRPr="00E467D3">
        <w:t xml:space="preserve"> cero uno dos), </w:t>
      </w:r>
      <w:r>
        <w:t xml:space="preserve">en tal sentido, y por ser actos derivados, se decreta la nulidad del </w:t>
      </w:r>
      <w:r w:rsidRPr="0039501A">
        <w:t xml:space="preserve">avalúo folio 250369 (dos cinco cero tres seis nueve) y de la notificación </w:t>
      </w:r>
      <w:r w:rsidRPr="00E467D3">
        <w:t>de fecha 08 ocho de agosto del año 2014 dos mil catorce, con folio 1024863 (uno cero dos cuatro ocho seis tres)</w:t>
      </w:r>
      <w:r w:rsidRPr="00C21938">
        <w:t xml:space="preserve">. </w:t>
      </w:r>
      <w:r>
        <w:t>-----------------------------------------------------------------------------</w:t>
      </w:r>
    </w:p>
    <w:p w:rsidR="004157E4" w:rsidRPr="00DA2DD3" w:rsidRDefault="004157E4" w:rsidP="004157E4">
      <w:pPr>
        <w:pStyle w:val="SENTENCIAS"/>
      </w:pPr>
    </w:p>
    <w:p w:rsidR="004157E4" w:rsidRPr="007D0C4C" w:rsidRDefault="004157E4" w:rsidP="004157E4">
      <w:pPr>
        <w:pStyle w:val="Textoindependiente"/>
        <w:spacing w:line="360" w:lineRule="auto"/>
        <w:ind w:firstLine="708"/>
        <w:rPr>
          <w:rFonts w:ascii="Century" w:hAnsi="Century" w:cs="Calibri"/>
          <w:b/>
          <w:bCs/>
        </w:rPr>
      </w:pPr>
      <w:r>
        <w:rPr>
          <w:rFonts w:ascii="Century" w:hAnsi="Century"/>
          <w:b/>
        </w:rPr>
        <w:t xml:space="preserve">SÉPTIMO. </w:t>
      </w:r>
      <w:r w:rsidRPr="007D0C4C">
        <w:rPr>
          <w:rFonts w:ascii="Century" w:hAnsi="Century" w:cs="Arial"/>
        </w:rPr>
        <w:t xml:space="preserve">En virtud de que el argumento estudiado resultó fundado y es suficiente para declarar la nulidad total del acto impugnado; 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 xml:space="preserve">--------------------------------- </w:t>
      </w:r>
    </w:p>
    <w:p w:rsidR="004157E4" w:rsidRPr="007D0C4C" w:rsidRDefault="004157E4" w:rsidP="004157E4">
      <w:pPr>
        <w:pStyle w:val="Textoindependiente"/>
        <w:spacing w:line="360" w:lineRule="auto"/>
        <w:rPr>
          <w:rFonts w:ascii="Century" w:hAnsi="Century" w:cs="Arial"/>
        </w:rPr>
      </w:pPr>
    </w:p>
    <w:p w:rsidR="004157E4" w:rsidRPr="007D0C4C" w:rsidRDefault="004157E4" w:rsidP="004157E4">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rsidR="004157E4" w:rsidRDefault="004157E4" w:rsidP="004157E4">
      <w:pPr>
        <w:pStyle w:val="Textoindependiente"/>
        <w:ind w:firstLine="708"/>
        <w:rPr>
          <w:rFonts w:ascii="Century" w:hAnsi="Century" w:cs="Arial"/>
        </w:rPr>
      </w:pPr>
    </w:p>
    <w:p w:rsidR="004157E4" w:rsidRPr="007D0C4C" w:rsidRDefault="004157E4" w:rsidP="004157E4">
      <w:pPr>
        <w:pStyle w:val="Textoindependiente"/>
        <w:ind w:firstLine="708"/>
        <w:rPr>
          <w:rFonts w:ascii="Century" w:hAnsi="Century" w:cs="Arial"/>
        </w:rPr>
      </w:pPr>
    </w:p>
    <w:p w:rsidR="004157E4" w:rsidRDefault="004157E4" w:rsidP="004157E4">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sidRPr="000012BB">
        <w:rPr>
          <w:rFonts w:ascii="Century" w:hAnsi="Century"/>
          <w:i/>
        </w:rPr>
        <w:t>Abril</w:t>
      </w:r>
      <w:proofErr w:type="gramEnd"/>
      <w:r w:rsidRPr="000012BB">
        <w:rPr>
          <w:rFonts w:ascii="Century" w:hAnsi="Century"/>
          <w:i/>
        </w:rPr>
        <w:t xml:space="preserve"> de 1991. Tesis: V.2o. J/7. Página: 86. Genealogía: Gaceta número 40, </w:t>
      </w:r>
      <w:proofErr w:type="gramStart"/>
      <w:r w:rsidRPr="000012BB">
        <w:rPr>
          <w:rFonts w:ascii="Century" w:hAnsi="Century"/>
          <w:i/>
        </w:rPr>
        <w:t>Abril</w:t>
      </w:r>
      <w:proofErr w:type="gramEnd"/>
      <w:r w:rsidRPr="000012BB">
        <w:rPr>
          <w:rFonts w:ascii="Century" w:hAnsi="Century"/>
          <w:i/>
        </w:rPr>
        <w:t xml:space="preserve"> de 1</w:t>
      </w:r>
      <w:r>
        <w:rPr>
          <w:rFonts w:ascii="Century" w:hAnsi="Century"/>
          <w:i/>
        </w:rPr>
        <w:t>991, página 125. --------------------------</w:t>
      </w:r>
    </w:p>
    <w:p w:rsidR="004157E4" w:rsidRDefault="004157E4" w:rsidP="004157E4">
      <w:pPr>
        <w:pStyle w:val="Textoindependiente"/>
        <w:ind w:firstLine="709"/>
        <w:rPr>
          <w:rFonts w:ascii="Century" w:hAnsi="Century"/>
          <w:i/>
        </w:rPr>
      </w:pPr>
    </w:p>
    <w:p w:rsidR="004157E4" w:rsidRPr="007D0C4C" w:rsidRDefault="004157E4" w:rsidP="004157E4">
      <w:pPr>
        <w:pStyle w:val="Textoindependiente"/>
        <w:ind w:firstLine="709"/>
        <w:rPr>
          <w:rFonts w:ascii="Century" w:hAnsi="Century"/>
          <w:b/>
        </w:rPr>
      </w:pPr>
    </w:p>
    <w:p w:rsidR="004157E4" w:rsidRDefault="004157E4" w:rsidP="004157E4">
      <w:pPr>
        <w:pStyle w:val="RESOLUCIONES"/>
      </w:pPr>
      <w:r>
        <w:rPr>
          <w:rFonts w:cs="Calibri"/>
          <w:b/>
          <w:bCs/>
          <w:iCs/>
        </w:rPr>
        <w:t>OCTAVO</w:t>
      </w:r>
      <w:r w:rsidRPr="007D0C4C">
        <w:rPr>
          <w:rFonts w:cs="Calibri"/>
          <w:iCs/>
        </w:rPr>
        <w:t xml:space="preserve">. En virtud de haberse decretado la nulidad total </w:t>
      </w:r>
      <w:r>
        <w:rPr>
          <w:rFonts w:cs="Calibri"/>
          <w:iCs/>
        </w:rPr>
        <w:t>d</w:t>
      </w:r>
      <w:r w:rsidRPr="00D47FD1">
        <w:t xml:space="preserve">e la actualización del valor fiscal de la cuenta predial cuenta predial 01P004733012 (cero uno Letra P cero </w:t>
      </w:r>
      <w:proofErr w:type="spellStart"/>
      <w:r w:rsidRPr="00D47FD1">
        <w:t>cero</w:t>
      </w:r>
      <w:proofErr w:type="spellEnd"/>
      <w:r w:rsidRPr="00D47FD1">
        <w:t xml:space="preserve"> cuatro siete tres </w:t>
      </w:r>
      <w:proofErr w:type="spellStart"/>
      <w:r w:rsidRPr="00D47FD1">
        <w:t>tres</w:t>
      </w:r>
      <w:proofErr w:type="spellEnd"/>
      <w:r w:rsidRPr="00D47FD1">
        <w:t xml:space="preserve"> cero uno dos), </w:t>
      </w:r>
      <w:r>
        <w:t xml:space="preserve">así como la nulidad del </w:t>
      </w:r>
      <w:r w:rsidRPr="00D47FD1">
        <w:t>avalúo folio 250369 (dos cinco cero tres seis nueve) y de la notificación de fecha 08 ocho de agosto del año 2014 dos mil catorce, con folio 1024863 (uno cero dos cuatro ocho seis tres)</w:t>
      </w:r>
      <w:r>
        <w:t xml:space="preserve">, </w:t>
      </w:r>
      <w:r w:rsidRPr="007D0C4C">
        <w:rPr>
          <w:rFonts w:cs="Calibri"/>
          <w:iCs/>
        </w:rPr>
        <w:t xml:space="preserve">es procedente </w:t>
      </w:r>
      <w:r w:rsidRPr="007D0C4C">
        <w:t xml:space="preserve">lo pretendido por la parte actora, en el sentido </w:t>
      </w:r>
      <w:r>
        <w:t xml:space="preserve">de que se pague el impuesto predial conforme a lo establecido en el artículo 168, segundo párrafo de la Ley de Hacienda de los Municipios del Estado de Guanajuato, por lo que el impuesto predial del inmueble propiedad del justiciable, correspondiente a la </w:t>
      </w:r>
      <w:r w:rsidRPr="00D47FD1">
        <w:t xml:space="preserve">cuenta predial 01P004733012 (cero uno Letra P cero </w:t>
      </w:r>
      <w:proofErr w:type="spellStart"/>
      <w:r w:rsidRPr="00D47FD1">
        <w:t>cero</w:t>
      </w:r>
      <w:proofErr w:type="spellEnd"/>
      <w:r w:rsidRPr="00D47FD1">
        <w:t xml:space="preserve"> cuatro siete tres </w:t>
      </w:r>
      <w:proofErr w:type="spellStart"/>
      <w:r w:rsidRPr="00D47FD1">
        <w:t>tres</w:t>
      </w:r>
      <w:proofErr w:type="spellEnd"/>
      <w:r w:rsidRPr="00D47FD1">
        <w:t xml:space="preserve"> cero uno dos), </w:t>
      </w:r>
      <w:r>
        <w:t xml:space="preserve">ubicado en la calle </w:t>
      </w:r>
      <w:r w:rsidR="008320CF">
        <w:t>******************</w:t>
      </w:r>
      <w:r>
        <w:t xml:space="preserve"> deberá calcularse conforme al último valor que se tenga registrado, previo al avalúo que a través del presente proceso fue declarado nulo.----------------------------------------------------------------------------------------------------</w:t>
      </w:r>
    </w:p>
    <w:p w:rsidR="004157E4" w:rsidRDefault="004157E4" w:rsidP="004157E4">
      <w:pPr>
        <w:pStyle w:val="RESOLUCIONES"/>
      </w:pPr>
    </w:p>
    <w:p w:rsidR="004157E4" w:rsidRPr="007D0C4C" w:rsidRDefault="004157E4" w:rsidP="004157E4">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rsidR="004157E4" w:rsidRPr="007D0C4C" w:rsidRDefault="004157E4" w:rsidP="004157E4">
      <w:pPr>
        <w:pStyle w:val="SENTENCIAS"/>
      </w:pPr>
    </w:p>
    <w:p w:rsidR="004157E4" w:rsidRDefault="004157E4" w:rsidP="004157E4">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4157E4" w:rsidRPr="007D0C4C" w:rsidRDefault="004157E4" w:rsidP="004157E4">
      <w:pPr>
        <w:pStyle w:val="Textoindependiente"/>
        <w:jc w:val="center"/>
        <w:rPr>
          <w:rFonts w:ascii="Century" w:hAnsi="Century" w:cs="Calibri"/>
          <w:iCs/>
        </w:rPr>
      </w:pPr>
    </w:p>
    <w:p w:rsidR="004157E4" w:rsidRPr="007D0C4C" w:rsidRDefault="004157E4" w:rsidP="004157E4">
      <w:pPr>
        <w:pStyle w:val="Textoindependiente"/>
        <w:rPr>
          <w:rFonts w:ascii="Century" w:hAnsi="Century" w:cs="Calibri"/>
        </w:rPr>
      </w:pPr>
    </w:p>
    <w:p w:rsidR="004157E4" w:rsidRPr="007D0C4C" w:rsidRDefault="004157E4" w:rsidP="004157E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4157E4" w:rsidRPr="007D0C4C" w:rsidRDefault="004157E4" w:rsidP="004157E4">
      <w:pPr>
        <w:pStyle w:val="Textoindependiente"/>
        <w:spacing w:line="360" w:lineRule="auto"/>
        <w:ind w:firstLine="709"/>
        <w:rPr>
          <w:rFonts w:ascii="Century" w:hAnsi="Century" w:cs="Calibri"/>
        </w:rPr>
      </w:pPr>
    </w:p>
    <w:p w:rsidR="004157E4" w:rsidRPr="007D0C4C" w:rsidRDefault="004157E4" w:rsidP="004157E4">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rsidR="004157E4" w:rsidRPr="007D0C4C" w:rsidRDefault="004157E4" w:rsidP="004157E4">
      <w:pPr>
        <w:spacing w:line="360" w:lineRule="auto"/>
        <w:ind w:firstLine="709"/>
        <w:jc w:val="both"/>
        <w:rPr>
          <w:rFonts w:ascii="Century" w:hAnsi="Century" w:cs="Calibri"/>
          <w:b/>
          <w:bCs/>
          <w:iCs/>
          <w:lang w:val="es-MX"/>
        </w:rPr>
      </w:pPr>
    </w:p>
    <w:p w:rsidR="004157E4" w:rsidRPr="007D0C4C" w:rsidRDefault="004157E4" w:rsidP="004157E4">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D47FD1">
        <w:rPr>
          <w:bCs/>
        </w:rPr>
        <w:t>de</w:t>
      </w:r>
      <w:r>
        <w:rPr>
          <w:b/>
          <w:bCs/>
        </w:rPr>
        <w:t xml:space="preserve"> </w:t>
      </w:r>
      <w:r>
        <w:t xml:space="preserve">la </w:t>
      </w:r>
      <w:r w:rsidRPr="00D47FD1">
        <w:t>actualización del valor fiscal de</w:t>
      </w:r>
      <w:r>
        <w:t>l inmueble con</w:t>
      </w:r>
      <w:r w:rsidRPr="00D47FD1">
        <w:t xml:space="preserve"> cuenta predial 01P004733012 (cero uno Letra P cero </w:t>
      </w:r>
      <w:proofErr w:type="spellStart"/>
      <w:r w:rsidRPr="00D47FD1">
        <w:t>cero</w:t>
      </w:r>
      <w:proofErr w:type="spellEnd"/>
      <w:r w:rsidRPr="00D47FD1">
        <w:t xml:space="preserve"> cuatro siete tres </w:t>
      </w:r>
      <w:proofErr w:type="spellStart"/>
      <w:r w:rsidRPr="00D47FD1">
        <w:t>tres</w:t>
      </w:r>
      <w:proofErr w:type="spellEnd"/>
      <w:r w:rsidRPr="00D47FD1">
        <w:t xml:space="preserve"> cero uno dos), </w:t>
      </w:r>
      <w:r>
        <w:t xml:space="preserve">así como del </w:t>
      </w:r>
      <w:r w:rsidRPr="00D47FD1">
        <w:t>avalúo folio 250369 (dos cinco cero tres seis nueve) y de la notificación de fecha 08 ocho de agosto del año 2014 dos mil catorce, con folio 1024863 (uno cero dos cuatro ocho seis tres)</w:t>
      </w:r>
      <w:r>
        <w:t xml:space="preserve">, </w:t>
      </w:r>
      <w:r>
        <w:lastRenderedPageBreak/>
        <w:t>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Pr>
          <w:rFonts w:cs="Calibri"/>
        </w:rPr>
        <w:t>-----------------------------------------------------</w:t>
      </w:r>
    </w:p>
    <w:p w:rsidR="004157E4" w:rsidRPr="007D0C4C" w:rsidRDefault="004157E4" w:rsidP="004157E4">
      <w:pPr>
        <w:pStyle w:val="SENTENCIAS"/>
        <w:rPr>
          <w:rFonts w:cs="Calibri"/>
          <w:b/>
          <w:bCs/>
          <w:iCs/>
        </w:rPr>
      </w:pPr>
    </w:p>
    <w:p w:rsidR="004157E4" w:rsidRPr="007D0C4C" w:rsidRDefault="004157E4" w:rsidP="004157E4">
      <w:pPr>
        <w:pStyle w:val="Textoindependiente"/>
        <w:spacing w:line="360" w:lineRule="auto"/>
        <w:ind w:firstLine="709"/>
        <w:rPr>
          <w:rFonts w:ascii="Century" w:hAnsi="Century"/>
        </w:rPr>
      </w:pPr>
      <w:r w:rsidRPr="007D0C4C">
        <w:rPr>
          <w:rFonts w:ascii="Century" w:hAnsi="Century" w:cs="Calibri"/>
          <w:b/>
        </w:rPr>
        <w:t xml:space="preserve">CUARTO. </w:t>
      </w:r>
      <w:r w:rsidRPr="007D0C4C">
        <w:rPr>
          <w:rFonts w:ascii="Century" w:hAnsi="Century" w:cs="Calibri"/>
        </w:rPr>
        <w:t>Se reconoce el derecho del accionante</w:t>
      </w:r>
      <w:r>
        <w:rPr>
          <w:rFonts w:ascii="Century" w:hAnsi="Century" w:cs="Calibri"/>
        </w:rPr>
        <w:t>, a efecto de que el cálculo del impuesto predial, se realice conforme al último valor fiscal registrado, de acuerdo a las consideraciones lógicas y jurídicas expuestas en el Considerando Octavo. -------------------------------------------------------------------------</w:t>
      </w:r>
    </w:p>
    <w:p w:rsidR="004157E4" w:rsidRPr="007D0C4C" w:rsidRDefault="004157E4" w:rsidP="004157E4">
      <w:pPr>
        <w:spacing w:line="360" w:lineRule="auto"/>
        <w:jc w:val="both"/>
        <w:rPr>
          <w:rFonts w:ascii="Century" w:hAnsi="Century" w:cs="Calibri"/>
          <w:lang w:val="es-MX"/>
        </w:rPr>
      </w:pPr>
    </w:p>
    <w:p w:rsidR="004157E4" w:rsidRPr="007D0C4C" w:rsidRDefault="004157E4" w:rsidP="004157E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4157E4" w:rsidRPr="007D0C4C" w:rsidRDefault="004157E4" w:rsidP="004157E4">
      <w:pPr>
        <w:spacing w:line="360" w:lineRule="auto"/>
        <w:jc w:val="both"/>
        <w:rPr>
          <w:rFonts w:ascii="Century" w:hAnsi="Century" w:cs="Calibri"/>
          <w:lang w:val="es-MX"/>
        </w:rPr>
      </w:pPr>
    </w:p>
    <w:p w:rsidR="004157E4" w:rsidRPr="007D0C4C" w:rsidRDefault="004157E4" w:rsidP="004157E4">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asunto totalmente concluido y </w:t>
      </w:r>
      <w:proofErr w:type="spellStart"/>
      <w:r w:rsidRPr="007D0C4C">
        <w:rPr>
          <w:rFonts w:ascii="Century" w:hAnsi="Century" w:cs="Calibri"/>
        </w:rPr>
        <w:t>dése</w:t>
      </w:r>
      <w:proofErr w:type="spellEnd"/>
      <w:r w:rsidRPr="007D0C4C">
        <w:rPr>
          <w:rFonts w:ascii="Century" w:hAnsi="Century" w:cs="Calibri"/>
        </w:rPr>
        <w:t xml:space="preserve"> de baja en el Libro de Registros que </w:t>
      </w:r>
      <w:r>
        <w:rPr>
          <w:rFonts w:ascii="Century" w:hAnsi="Century" w:cs="Calibri"/>
        </w:rPr>
        <w:t xml:space="preserve">se lleva para tal efecto. - </w:t>
      </w:r>
    </w:p>
    <w:p w:rsidR="004157E4" w:rsidRPr="007D0C4C" w:rsidRDefault="004157E4" w:rsidP="004157E4">
      <w:pPr>
        <w:pStyle w:val="Textoindependiente"/>
        <w:spacing w:line="360" w:lineRule="auto"/>
        <w:rPr>
          <w:rFonts w:ascii="Century" w:hAnsi="Century" w:cs="Calibri"/>
        </w:rPr>
      </w:pPr>
    </w:p>
    <w:p w:rsidR="004157E4" w:rsidRDefault="004157E4" w:rsidP="004157E4">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4157E4" w:rsidRDefault="004157E4" w:rsidP="004157E4">
      <w:pPr>
        <w:tabs>
          <w:tab w:val="left" w:pos="1252"/>
        </w:tabs>
        <w:spacing w:line="360" w:lineRule="auto"/>
        <w:ind w:firstLine="709"/>
        <w:jc w:val="both"/>
        <w:rPr>
          <w:rFonts w:ascii="Century" w:hAnsi="Century" w:cs="Calibri"/>
        </w:rPr>
      </w:pPr>
    </w:p>
    <w:p w:rsidR="004157E4" w:rsidRDefault="004157E4" w:rsidP="004157E4">
      <w:pPr>
        <w:tabs>
          <w:tab w:val="left" w:pos="1252"/>
        </w:tabs>
        <w:spacing w:line="360" w:lineRule="auto"/>
        <w:ind w:firstLine="709"/>
        <w:jc w:val="both"/>
        <w:rPr>
          <w:rFonts w:ascii="Century" w:hAnsi="Century" w:cs="Calibri"/>
        </w:rPr>
      </w:pPr>
    </w:p>
    <w:p w:rsidR="004157E4" w:rsidRDefault="004157E4" w:rsidP="004157E4">
      <w:pPr>
        <w:tabs>
          <w:tab w:val="left" w:pos="1252"/>
        </w:tabs>
        <w:spacing w:line="360" w:lineRule="auto"/>
        <w:ind w:firstLine="709"/>
        <w:jc w:val="both"/>
        <w:rPr>
          <w:rFonts w:ascii="Century" w:hAnsi="Century"/>
          <w:lang w:val="es-MX"/>
        </w:rPr>
      </w:pPr>
    </w:p>
    <w:p w:rsidR="003E0C02" w:rsidRPr="004157E4" w:rsidRDefault="003E0C02">
      <w:pPr>
        <w:rPr>
          <w:lang w:val="es-MX"/>
        </w:rPr>
      </w:pPr>
    </w:p>
    <w:sectPr w:rsidR="003E0C02" w:rsidRPr="004157E4" w:rsidSect="004C0097">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680"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EF" w:rsidRDefault="001066EF">
      <w:r>
        <w:separator/>
      </w:r>
    </w:p>
  </w:endnote>
  <w:endnote w:type="continuationSeparator" w:id="0">
    <w:p w:rsidR="001066EF" w:rsidRDefault="0010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FF1896" w:rsidRPr="004C0097" w:rsidRDefault="004157E4">
            <w:pPr>
              <w:pStyle w:val="Piedepgina"/>
              <w:jc w:val="right"/>
              <w:rPr>
                <w:rFonts w:ascii="Century" w:hAnsi="Century"/>
                <w:sz w:val="14"/>
                <w:szCs w:val="14"/>
              </w:rPr>
            </w:pPr>
            <w:r w:rsidRPr="004C0097">
              <w:rPr>
                <w:rFonts w:ascii="Century" w:hAnsi="Century"/>
                <w:sz w:val="14"/>
                <w:szCs w:val="14"/>
              </w:rPr>
              <w:t xml:space="preserve">Página </w:t>
            </w:r>
            <w:r w:rsidRPr="004C0097">
              <w:rPr>
                <w:rFonts w:ascii="Century" w:hAnsi="Century"/>
                <w:b/>
                <w:bCs/>
                <w:sz w:val="14"/>
                <w:szCs w:val="14"/>
              </w:rPr>
              <w:fldChar w:fldCharType="begin"/>
            </w:r>
            <w:r w:rsidRPr="004C0097">
              <w:rPr>
                <w:rFonts w:ascii="Century" w:hAnsi="Century"/>
                <w:b/>
                <w:bCs/>
                <w:sz w:val="14"/>
                <w:szCs w:val="14"/>
              </w:rPr>
              <w:instrText>PAGE</w:instrText>
            </w:r>
            <w:r w:rsidRPr="004C0097">
              <w:rPr>
                <w:rFonts w:ascii="Century" w:hAnsi="Century"/>
                <w:b/>
                <w:bCs/>
                <w:sz w:val="14"/>
                <w:szCs w:val="14"/>
              </w:rPr>
              <w:fldChar w:fldCharType="separate"/>
            </w:r>
            <w:r>
              <w:rPr>
                <w:rFonts w:ascii="Century" w:hAnsi="Century"/>
                <w:b/>
                <w:bCs/>
                <w:noProof/>
                <w:sz w:val="14"/>
                <w:szCs w:val="14"/>
              </w:rPr>
              <w:t>16</w:t>
            </w:r>
            <w:r w:rsidRPr="004C0097">
              <w:rPr>
                <w:rFonts w:ascii="Century" w:hAnsi="Century"/>
                <w:b/>
                <w:bCs/>
                <w:sz w:val="14"/>
                <w:szCs w:val="14"/>
              </w:rPr>
              <w:fldChar w:fldCharType="end"/>
            </w:r>
            <w:r w:rsidRPr="004C0097">
              <w:rPr>
                <w:rFonts w:ascii="Century" w:hAnsi="Century"/>
                <w:sz w:val="14"/>
                <w:szCs w:val="14"/>
              </w:rPr>
              <w:t xml:space="preserve"> de </w:t>
            </w:r>
            <w:r w:rsidRPr="004C0097">
              <w:rPr>
                <w:rFonts w:ascii="Century" w:hAnsi="Century"/>
                <w:b/>
                <w:bCs/>
                <w:sz w:val="14"/>
                <w:szCs w:val="14"/>
              </w:rPr>
              <w:fldChar w:fldCharType="begin"/>
            </w:r>
            <w:r w:rsidRPr="004C0097">
              <w:rPr>
                <w:rFonts w:ascii="Century" w:hAnsi="Century"/>
                <w:b/>
                <w:bCs/>
                <w:sz w:val="14"/>
                <w:szCs w:val="14"/>
              </w:rPr>
              <w:instrText>NUMPAGES</w:instrText>
            </w:r>
            <w:r w:rsidRPr="004C0097">
              <w:rPr>
                <w:rFonts w:ascii="Century" w:hAnsi="Century"/>
                <w:b/>
                <w:bCs/>
                <w:sz w:val="14"/>
                <w:szCs w:val="14"/>
              </w:rPr>
              <w:fldChar w:fldCharType="separate"/>
            </w:r>
            <w:r>
              <w:rPr>
                <w:rFonts w:ascii="Century" w:hAnsi="Century"/>
                <w:b/>
                <w:bCs/>
                <w:noProof/>
                <w:sz w:val="14"/>
                <w:szCs w:val="14"/>
              </w:rPr>
              <w:t>16</w:t>
            </w:r>
            <w:r w:rsidRPr="004C0097">
              <w:rPr>
                <w:rFonts w:ascii="Century" w:hAnsi="Century"/>
                <w:b/>
                <w:bCs/>
                <w:sz w:val="14"/>
                <w:szCs w:val="14"/>
              </w:rPr>
              <w:fldChar w:fldCharType="end"/>
            </w:r>
          </w:p>
        </w:sdtContent>
      </w:sdt>
    </w:sdtContent>
  </w:sdt>
  <w:p w:rsidR="00FF1896" w:rsidRDefault="001066E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6" w:rsidRPr="004C0097" w:rsidRDefault="001066EF" w:rsidP="00F10586">
    <w:pPr>
      <w:pStyle w:val="Piedepgina"/>
      <w:jc w:val="right"/>
      <w:rPr>
        <w:rFonts w:ascii="Century" w:hAnsi="Century"/>
        <w:sz w:val="14"/>
        <w:szCs w:val="14"/>
      </w:rPr>
    </w:pPr>
  </w:p>
  <w:p w:rsidR="00FF1896" w:rsidRPr="004C0097" w:rsidRDefault="001066EF">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6" w:rsidRDefault="001066EF" w:rsidP="004C0097">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EF" w:rsidRDefault="001066EF">
      <w:r>
        <w:separator/>
      </w:r>
    </w:p>
  </w:footnote>
  <w:footnote w:type="continuationSeparator" w:id="0">
    <w:p w:rsidR="001066EF" w:rsidRDefault="001066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6" w:rsidRDefault="001066EF">
    <w:pPr>
      <w:pStyle w:val="Encabezado"/>
      <w:framePr w:wrap="around" w:vAnchor="text" w:hAnchor="margin" w:xAlign="center" w:y="1"/>
      <w:rPr>
        <w:rStyle w:val="Nmerodepgina"/>
      </w:rPr>
    </w:pPr>
  </w:p>
  <w:p w:rsidR="00FF1896" w:rsidRDefault="001066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896" w:rsidRDefault="001066EF">
    <w:pPr>
      <w:pStyle w:val="Encabezado"/>
      <w:jc w:val="right"/>
      <w:rPr>
        <w:color w:val="7F7F7F" w:themeColor="text1" w:themeTint="80"/>
      </w:rPr>
    </w:pPr>
  </w:p>
  <w:p w:rsidR="00FF1896" w:rsidRDefault="001066EF">
    <w:pPr>
      <w:pStyle w:val="Encabezado"/>
      <w:jc w:val="right"/>
      <w:rPr>
        <w:color w:val="7F7F7F" w:themeColor="text1" w:themeTint="80"/>
      </w:rPr>
    </w:pPr>
  </w:p>
  <w:p w:rsidR="00FF1896" w:rsidRDefault="001066EF">
    <w:pPr>
      <w:pStyle w:val="Encabezado"/>
      <w:jc w:val="right"/>
      <w:rPr>
        <w:color w:val="7F7F7F" w:themeColor="text1" w:themeTint="80"/>
      </w:rPr>
    </w:pPr>
  </w:p>
  <w:p w:rsidR="00FF1896" w:rsidRDefault="001066EF">
    <w:pPr>
      <w:pStyle w:val="Encabezado"/>
      <w:jc w:val="right"/>
      <w:rPr>
        <w:color w:val="7F7F7F" w:themeColor="text1" w:themeTint="80"/>
      </w:rPr>
    </w:pPr>
  </w:p>
  <w:p w:rsidR="00FF1896" w:rsidRDefault="001066EF">
    <w:pPr>
      <w:pStyle w:val="Encabezado"/>
      <w:jc w:val="right"/>
      <w:rPr>
        <w:color w:val="7F7F7F" w:themeColor="text1" w:themeTint="80"/>
      </w:rPr>
    </w:pPr>
  </w:p>
  <w:p w:rsidR="00FF1896" w:rsidRPr="00BE7021" w:rsidRDefault="001066EF"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FF1896" w:rsidRDefault="004157E4">
        <w:pPr>
          <w:pStyle w:val="Encabezado"/>
          <w:jc w:val="right"/>
          <w:rPr>
            <w:color w:val="7F7F7F" w:themeColor="text1" w:themeTint="80"/>
          </w:rPr>
        </w:pPr>
        <w:r>
          <w:rPr>
            <w:color w:val="7F7F7F" w:themeColor="text1" w:themeTint="80"/>
          </w:rPr>
          <w:t xml:space="preserve">     </w:t>
        </w:r>
      </w:p>
    </w:sdtContent>
  </w:sdt>
  <w:p w:rsidR="00FF1896" w:rsidRPr="00BE7021" w:rsidRDefault="001066EF">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E4"/>
    <w:rsid w:val="001066EF"/>
    <w:rsid w:val="003E0C02"/>
    <w:rsid w:val="004157E4"/>
    <w:rsid w:val="006820CE"/>
    <w:rsid w:val="008320CF"/>
    <w:rsid w:val="009A4D6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1D05"/>
  <w15:chartTrackingRefBased/>
  <w15:docId w15:val="{C7991547-6BF2-4559-BFE1-804735BE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57E4"/>
    <w:pPr>
      <w:jc w:val="both"/>
    </w:pPr>
    <w:rPr>
      <w:lang w:val="es-MX"/>
    </w:rPr>
  </w:style>
  <w:style w:type="character" w:customStyle="1" w:styleId="TextoindependienteCar">
    <w:name w:val="Texto independiente Car"/>
    <w:basedOn w:val="Fuentedeprrafopredeter"/>
    <w:link w:val="Textoindependiente"/>
    <w:rsid w:val="004157E4"/>
    <w:rPr>
      <w:rFonts w:ascii="Times New Roman" w:eastAsia="Calibri" w:hAnsi="Times New Roman" w:cs="Times New Roman"/>
      <w:sz w:val="24"/>
      <w:szCs w:val="24"/>
      <w:lang w:eastAsia="es-ES"/>
    </w:rPr>
  </w:style>
  <w:style w:type="character" w:styleId="Nmerodepgina">
    <w:name w:val="page number"/>
    <w:semiHidden/>
    <w:rsid w:val="004157E4"/>
    <w:rPr>
      <w:rFonts w:cs="Times New Roman"/>
    </w:rPr>
  </w:style>
  <w:style w:type="paragraph" w:styleId="Encabezado">
    <w:name w:val="header"/>
    <w:basedOn w:val="Normal"/>
    <w:link w:val="EncabezadoCar"/>
    <w:uiPriority w:val="99"/>
    <w:rsid w:val="004157E4"/>
    <w:pPr>
      <w:tabs>
        <w:tab w:val="center" w:pos="4419"/>
        <w:tab w:val="right" w:pos="8838"/>
      </w:tabs>
    </w:pPr>
    <w:rPr>
      <w:lang w:val="es-MX"/>
    </w:rPr>
  </w:style>
  <w:style w:type="character" w:customStyle="1" w:styleId="EncabezadoCar">
    <w:name w:val="Encabezado Car"/>
    <w:basedOn w:val="Fuentedeprrafopredeter"/>
    <w:link w:val="Encabezado"/>
    <w:uiPriority w:val="99"/>
    <w:rsid w:val="004157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157E4"/>
    <w:pPr>
      <w:tabs>
        <w:tab w:val="center" w:pos="4419"/>
        <w:tab w:val="right" w:pos="8838"/>
      </w:tabs>
    </w:pPr>
  </w:style>
  <w:style w:type="character" w:customStyle="1" w:styleId="PiedepginaCar">
    <w:name w:val="Pie de página Car"/>
    <w:basedOn w:val="Fuentedeprrafopredeter"/>
    <w:link w:val="Piedepgina"/>
    <w:uiPriority w:val="99"/>
    <w:rsid w:val="004157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157E4"/>
    <w:pPr>
      <w:spacing w:line="360" w:lineRule="auto"/>
      <w:ind w:firstLine="709"/>
      <w:jc w:val="both"/>
    </w:pPr>
    <w:rPr>
      <w:rFonts w:ascii="Century" w:hAnsi="Century"/>
    </w:rPr>
  </w:style>
  <w:style w:type="paragraph" w:customStyle="1" w:styleId="SENTENCIAS">
    <w:name w:val="SENTENCIAS"/>
    <w:basedOn w:val="Normal"/>
    <w:qFormat/>
    <w:rsid w:val="004157E4"/>
    <w:pPr>
      <w:spacing w:line="360" w:lineRule="auto"/>
      <w:ind w:firstLine="708"/>
      <w:jc w:val="both"/>
    </w:pPr>
    <w:rPr>
      <w:rFonts w:ascii="Century" w:hAnsi="Century"/>
    </w:rPr>
  </w:style>
  <w:style w:type="paragraph" w:customStyle="1" w:styleId="TESISYJURIS">
    <w:name w:val="TESIS Y JURIS"/>
    <w:basedOn w:val="SENTENCIAS"/>
    <w:qFormat/>
    <w:rsid w:val="004157E4"/>
    <w:pPr>
      <w:spacing w:line="240" w:lineRule="auto"/>
      <w:ind w:firstLine="709"/>
    </w:pPr>
    <w:rPr>
      <w:bCs/>
      <w:i/>
      <w:iCs/>
    </w:rPr>
  </w:style>
  <w:style w:type="character" w:customStyle="1" w:styleId="RESOLUCIONESCar">
    <w:name w:val="RESOLUCIONES Car"/>
    <w:basedOn w:val="Fuentedeprrafopredeter"/>
    <w:link w:val="RESOLUCIONES"/>
    <w:rsid w:val="004157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5470</Words>
  <Characters>30089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2</cp:revision>
  <dcterms:created xsi:type="dcterms:W3CDTF">2018-02-28T20:08:00Z</dcterms:created>
  <dcterms:modified xsi:type="dcterms:W3CDTF">2018-02-28T20:08:00Z</dcterms:modified>
</cp:coreProperties>
</file>